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78907" w14:textId="3DAC9FCA" w:rsidR="003F3907" w:rsidRDefault="003F3907" w:rsidP="00AE5AC6">
      <w:pPr>
        <w:pStyle w:val="Instruction"/>
        <w:pBdr>
          <w:left w:val="single" w:sz="18" w:space="6" w:color="2E74B5"/>
        </w:pBdr>
        <w:shd w:val="clear" w:color="auto" w:fill="F4F6F9"/>
        <w:ind w:left="0"/>
      </w:pPr>
    </w:p>
    <w:tbl>
      <w:tblPr>
        <w:tblStyle w:val="Tabela-Siatka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300"/>
        <w:gridCol w:w="7060"/>
      </w:tblGrid>
      <w:tr w:rsidR="003F3907" w14:paraId="380DC4C6" w14:textId="77777777">
        <w:tc>
          <w:tcPr>
            <w:tcW w:w="2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E0AE28" w14:textId="77777777" w:rsidR="003F3907" w:rsidRDefault="00000000">
            <w:pPr>
              <w:spacing w:after="0"/>
            </w:pPr>
            <w:r>
              <w:rPr>
                <w:rFonts w:eastAsia="Calibri"/>
                <w:b/>
                <w:color w:val="1F4D78"/>
                <w:sz w:val="19"/>
              </w:rPr>
              <w:t>Miejscowość i data</w:t>
            </w:r>
          </w:p>
        </w:tc>
        <w:tc>
          <w:tcPr>
            <w:tcW w:w="7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85FB7E" w14:textId="77777777" w:rsidR="003F3907" w:rsidRDefault="00000000">
            <w:pPr>
              <w:spacing w:after="0"/>
            </w:pPr>
            <w:r>
              <w:rPr>
                <w:rFonts w:eastAsia="Calibri"/>
                <w:color w:val="5F6368"/>
                <w:sz w:val="20"/>
              </w:rPr>
              <w:t>[............................................................]</w:t>
            </w:r>
          </w:p>
        </w:tc>
      </w:tr>
      <w:tr w:rsidR="003F3907" w14:paraId="079A4247" w14:textId="77777777">
        <w:tc>
          <w:tcPr>
            <w:tcW w:w="2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42BC05" w14:textId="77777777" w:rsidR="003F3907" w:rsidRDefault="00000000">
            <w:pPr>
              <w:spacing w:after="0"/>
            </w:pPr>
            <w:r>
              <w:rPr>
                <w:rFonts w:eastAsia="Calibri"/>
                <w:b/>
                <w:color w:val="1F4D78"/>
                <w:sz w:val="19"/>
              </w:rPr>
              <w:t>Imię i nazwisko</w:t>
            </w:r>
          </w:p>
        </w:tc>
        <w:tc>
          <w:tcPr>
            <w:tcW w:w="7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33C85C" w14:textId="77777777" w:rsidR="003F3907" w:rsidRDefault="00000000">
            <w:pPr>
              <w:spacing w:after="0"/>
            </w:pPr>
            <w:r>
              <w:rPr>
                <w:rFonts w:eastAsia="Calibri"/>
                <w:color w:val="5F6368"/>
                <w:sz w:val="20"/>
              </w:rPr>
              <w:t>[............................................................]</w:t>
            </w:r>
          </w:p>
        </w:tc>
      </w:tr>
      <w:tr w:rsidR="003F3907" w14:paraId="65E17002" w14:textId="77777777">
        <w:tc>
          <w:tcPr>
            <w:tcW w:w="2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ED4189" w14:textId="77777777" w:rsidR="003F3907" w:rsidRDefault="00000000">
            <w:pPr>
              <w:spacing w:after="0"/>
            </w:pPr>
            <w:r>
              <w:rPr>
                <w:rFonts w:eastAsia="Calibri"/>
                <w:b/>
                <w:color w:val="1F4D78"/>
                <w:sz w:val="19"/>
              </w:rPr>
              <w:t>Adres zamieszkania</w:t>
            </w:r>
          </w:p>
        </w:tc>
        <w:tc>
          <w:tcPr>
            <w:tcW w:w="7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F7F0E5" w14:textId="77777777" w:rsidR="003F3907" w:rsidRDefault="00000000">
            <w:pPr>
              <w:spacing w:after="0"/>
            </w:pPr>
            <w:r>
              <w:rPr>
                <w:rFonts w:eastAsia="Calibri"/>
                <w:color w:val="5F6368"/>
                <w:sz w:val="20"/>
              </w:rPr>
              <w:t>[............................................................]</w:t>
            </w:r>
          </w:p>
        </w:tc>
      </w:tr>
      <w:tr w:rsidR="003F3907" w14:paraId="5408656C" w14:textId="77777777">
        <w:tc>
          <w:tcPr>
            <w:tcW w:w="2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92EF72" w14:textId="77777777" w:rsidR="003F3907" w:rsidRDefault="00000000">
            <w:pPr>
              <w:spacing w:after="0"/>
            </w:pPr>
            <w:r>
              <w:rPr>
                <w:rFonts w:eastAsia="Calibri"/>
                <w:b/>
                <w:color w:val="1F4D78"/>
                <w:sz w:val="19"/>
              </w:rPr>
              <w:t>E-mail (opcjonalnie)</w:t>
            </w:r>
          </w:p>
        </w:tc>
        <w:tc>
          <w:tcPr>
            <w:tcW w:w="7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F89F69" w14:textId="77777777" w:rsidR="003F3907" w:rsidRDefault="00000000">
            <w:pPr>
              <w:spacing w:after="0"/>
            </w:pPr>
            <w:r>
              <w:rPr>
                <w:rFonts w:eastAsia="Calibri"/>
                <w:color w:val="5F6368"/>
                <w:sz w:val="20"/>
              </w:rPr>
              <w:t>[............................................................]</w:t>
            </w:r>
          </w:p>
        </w:tc>
      </w:tr>
    </w:tbl>
    <w:p w14:paraId="6127B7C0" w14:textId="77777777" w:rsidR="003F3907" w:rsidRPr="00AE5AC6" w:rsidRDefault="00000000">
      <w:pPr>
        <w:spacing w:before="280" w:after="0"/>
        <w:jc w:val="right"/>
        <w:rPr>
          <w:lang w:val="pl-PL"/>
        </w:rPr>
      </w:pPr>
      <w:r w:rsidRPr="00AE5AC6">
        <w:rPr>
          <w:rFonts w:eastAsia="Calibri"/>
          <w:b/>
          <w:sz w:val="21"/>
          <w:lang w:val="pl-PL"/>
        </w:rPr>
        <w:t>Prezydent Rzeczypospolitej Polskiej</w:t>
      </w:r>
      <w:r w:rsidRPr="00AE5AC6">
        <w:rPr>
          <w:rFonts w:eastAsia="Calibri"/>
          <w:b/>
          <w:sz w:val="21"/>
          <w:lang w:val="pl-PL"/>
        </w:rPr>
        <w:br/>
      </w:r>
      <w:r w:rsidRPr="00AE5AC6">
        <w:rPr>
          <w:rFonts w:eastAsia="Calibri"/>
          <w:sz w:val="21"/>
          <w:lang w:val="pl-PL"/>
        </w:rPr>
        <w:t>Pan Karol Nawrocki</w:t>
      </w:r>
      <w:r w:rsidRPr="00AE5AC6">
        <w:rPr>
          <w:rFonts w:eastAsia="Calibri"/>
          <w:sz w:val="21"/>
          <w:lang w:val="pl-PL"/>
        </w:rPr>
        <w:br/>
        <w:t>Kancelaria Prezydenta Rzeczypospolitej Polskiej</w:t>
      </w:r>
      <w:r w:rsidRPr="00AE5AC6">
        <w:rPr>
          <w:rFonts w:eastAsia="Calibri"/>
          <w:sz w:val="21"/>
          <w:lang w:val="pl-PL"/>
        </w:rPr>
        <w:br/>
        <w:t>ul. Wiejska 10, 00-902 Warszawa</w:t>
      </w:r>
      <w:r w:rsidRPr="00AE5AC6">
        <w:rPr>
          <w:rFonts w:eastAsia="Calibri"/>
          <w:sz w:val="21"/>
          <w:lang w:val="pl-PL"/>
        </w:rPr>
        <w:br/>
      </w:r>
    </w:p>
    <w:p w14:paraId="7B0FDADF" w14:textId="77777777" w:rsidR="003F3907" w:rsidRPr="00AE5AC6" w:rsidRDefault="00000000">
      <w:pPr>
        <w:rPr>
          <w:lang w:val="pl-PL"/>
        </w:rPr>
      </w:pPr>
      <w:r w:rsidRPr="00AE5AC6">
        <w:rPr>
          <w:rFonts w:eastAsia="Calibri"/>
          <w:lang w:val="pl-PL"/>
        </w:rPr>
        <w:t>Szanowny Panie Prezydencie,</w:t>
      </w:r>
    </w:p>
    <w:p w14:paraId="2A4C8683" w14:textId="2930393C" w:rsidR="003F3907" w:rsidRPr="00AE5AC6" w:rsidRDefault="00000000">
      <w:pPr>
        <w:keepLines/>
        <w:rPr>
          <w:lang w:val="pl-PL"/>
        </w:rPr>
      </w:pPr>
      <w:r w:rsidRPr="00AE5AC6">
        <w:rPr>
          <w:rFonts w:eastAsia="Calibri"/>
          <w:lang w:val="pl-PL"/>
        </w:rPr>
        <w:t>zwracam się do Pana nie jako ekspert od legislacji, lecz jako rodzic, który każdego dnia powierza innym osobom bezpieczeństwo, zdrowie i rozwój swojego małego dziecka.</w:t>
      </w:r>
      <w:r w:rsidR="00AE5AC6">
        <w:rPr>
          <w:rFonts w:eastAsia="Calibri"/>
          <w:lang w:val="pl-PL"/>
        </w:rPr>
        <w:t xml:space="preserve"> </w:t>
      </w:r>
      <w:r w:rsidRPr="00AE5AC6">
        <w:rPr>
          <w:rFonts w:eastAsia="Calibri"/>
          <w:lang w:val="pl-PL"/>
        </w:rPr>
        <w:t>Wybrana przez nas niewielka placówka jest jedynym miejscem, w którym nasze dziecko dobrze przeszło adaptację, a my możemy łączyć opiekę z pracą.</w:t>
      </w:r>
    </w:p>
    <w:p w14:paraId="54D11FD6" w14:textId="77777777" w:rsidR="003F3907" w:rsidRPr="00AE5AC6" w:rsidRDefault="00000000">
      <w:pPr>
        <w:rPr>
          <w:lang w:val="pl-PL"/>
        </w:rPr>
      </w:pPr>
      <w:r w:rsidRPr="00AE5AC6">
        <w:rPr>
          <w:rFonts w:eastAsia="Calibri"/>
          <w:lang w:val="pl-PL"/>
        </w:rPr>
        <w:t>Chcę wysokich standardów opieki, dobrze przygotowanej kadry, zdrowego żywienia, bezpiecznej przestrzeni i skutecznej kontroli. Nie występuję więc przeciwko zmianom. Proszę jednak, aby nie podpisywał Pan ustawy, zanim nie będzie pewności, że jej rzeczywiste skutki będą tak dobre jak deklarowane cele.</w:t>
      </w:r>
    </w:p>
    <w:p w14:paraId="75BF432F" w14:textId="77777777" w:rsidR="003F3907" w:rsidRPr="00AE5AC6" w:rsidRDefault="00000000">
      <w:pPr>
        <w:rPr>
          <w:lang w:val="pl-PL"/>
        </w:rPr>
      </w:pPr>
      <w:r w:rsidRPr="00AE5AC6">
        <w:rPr>
          <w:rFonts w:eastAsia="Calibri"/>
          <w:lang w:val="pl-PL"/>
        </w:rPr>
        <w:t>Dla rodzica jakość nie jest liczbą nowych procedur. Jakość to spokojny opiekun, który ma czas zauważyć zmianę zachowania dziecka; stabilna placówka, której nie trzeba nagle zmieniać; dostępna opłata; jasne zasady i zaufanie, że państwo nadzoruje każdą placówkę według równie rzetelnych kryteriów.</w:t>
      </w:r>
    </w:p>
    <w:p w14:paraId="4581583C" w14:textId="6163C8F5" w:rsidR="003F3907" w:rsidRPr="00AE5AC6" w:rsidRDefault="00000000">
      <w:pPr>
        <w:pStyle w:val="Nagwek2"/>
        <w:rPr>
          <w:lang w:val="pl-PL"/>
        </w:rPr>
      </w:pPr>
      <w:r w:rsidRPr="00AE5AC6">
        <w:rPr>
          <w:rFonts w:ascii="Calibri" w:eastAsia="Calibri" w:hAnsi="Calibri"/>
          <w:lang w:val="pl-PL"/>
        </w:rPr>
        <w:t>Ustawa musi chronić ciągłość opieki i realny wybór rodziny</w:t>
      </w:r>
    </w:p>
    <w:p w14:paraId="0E22E0DF" w14:textId="77777777" w:rsidR="003F3907" w:rsidRPr="00AE5AC6" w:rsidRDefault="00000000">
      <w:pPr>
        <w:rPr>
          <w:lang w:val="pl-PL"/>
        </w:rPr>
      </w:pPr>
      <w:r w:rsidRPr="00AE5AC6">
        <w:rPr>
          <w:rFonts w:eastAsia="Calibri"/>
          <w:lang w:val="pl-PL"/>
        </w:rPr>
        <w:t>Dla małego dziecka zmiana żłobka nie jest prostą zmianą usługodawcy. To zerwanie świeżo zbudowanych więzi, ponowna adaptacja i stres całej rodziny. Jeżeli nowe obowiązki zwiększą koszty albo osłabią najmniejsze placówki, skutek poniosą rodzice i dzieci - zwłaszcza w mniejszych miejscowościach, gdzie alternatywy często nie ma.</w:t>
      </w:r>
    </w:p>
    <w:p w14:paraId="6B199424" w14:textId="77777777" w:rsidR="003F3907" w:rsidRPr="00AE5AC6" w:rsidRDefault="00000000">
      <w:pPr>
        <w:rPr>
          <w:lang w:val="pl-PL"/>
        </w:rPr>
      </w:pPr>
      <w:r w:rsidRPr="00AE5AC6">
        <w:rPr>
          <w:rFonts w:eastAsia="Calibri"/>
          <w:lang w:val="pl-PL"/>
        </w:rPr>
        <w:t>Ocena ustawy nie powinna więc kończyć się na wykazaniu liczby miejsc utworzonych. Potrzebny jest pełny bilans miejsc otwieranych i likwidowanych, ich rozmieszczenia, dostępności cenowej oraz przyczyn zamknięć. Dopiero taki obraz odpowiada na pytanie, czy rodzina rzeczywiście zyskuje, czy tylko dobrze wygląda statystyka ogólnokrajowa.</w:t>
      </w:r>
    </w:p>
    <w:p w14:paraId="4F550DB5" w14:textId="4C2148E1" w:rsidR="003F3907" w:rsidRPr="00AE5AC6" w:rsidRDefault="00000000">
      <w:pPr>
        <w:pStyle w:val="Nagwek2"/>
        <w:rPr>
          <w:lang w:val="pl-PL"/>
        </w:rPr>
      </w:pPr>
      <w:r w:rsidRPr="00AE5AC6">
        <w:rPr>
          <w:rFonts w:ascii="Calibri" w:eastAsia="Calibri" w:hAnsi="Calibri"/>
          <w:lang w:val="pl-PL"/>
        </w:rPr>
        <w:t>Dobre cele nie zastępują sprawdzonych skutków</w:t>
      </w:r>
    </w:p>
    <w:p w14:paraId="0CFBB080" w14:textId="77777777" w:rsidR="003F3907" w:rsidRPr="00AE5AC6" w:rsidRDefault="00000000">
      <w:pPr>
        <w:rPr>
          <w:lang w:val="pl-PL"/>
        </w:rPr>
      </w:pPr>
      <w:r w:rsidRPr="00AE5AC6">
        <w:rPr>
          <w:rFonts w:eastAsia="Calibri"/>
          <w:lang w:val="pl-PL"/>
        </w:rPr>
        <w:t xml:space="preserve">Rząd przedstawia ustawę jako narzędzie podniesienia jakości, zwiększenia dostępu i usunięcia barier ekonomicznych. Te cele zasługują na poparcie. Jednak rodzic potrzebuje odpowiedzi, jakie mierzalne </w:t>
      </w:r>
      <w:r w:rsidRPr="00AE5AC6">
        <w:rPr>
          <w:rFonts w:eastAsia="Calibri"/>
          <w:lang w:val="pl-PL"/>
        </w:rPr>
        <w:lastRenderedPageBreak/>
        <w:t>efekty przyniosły wcześniejsze reformy, które obowiązki rzeczywiście poprawiły opiekę i jaki będzie łączny koszt nowych rozwiązań dla placówki oraz rodziny.</w:t>
      </w:r>
    </w:p>
    <w:p w14:paraId="2EAEC683" w14:textId="77777777" w:rsidR="003F3907" w:rsidRPr="00AE5AC6" w:rsidRDefault="00000000">
      <w:pPr>
        <w:rPr>
          <w:lang w:val="pl-PL"/>
        </w:rPr>
      </w:pPr>
      <w:r w:rsidRPr="00AE5AC6">
        <w:rPr>
          <w:rFonts w:eastAsia="Calibri"/>
          <w:lang w:val="pl-PL"/>
        </w:rPr>
        <w:t>Bez takiej oceny istnieje ryzyko, że prawo doda dokumentację i wydatki, lecz nie zwiększy liczby minut, które opiekun może poświęcić dziecku. W sprawach najmłodszych dzieci państwo powinno wymagać dowodu skuteczności, a nie zadowalać się samą deklaracją celu.</w:t>
      </w:r>
    </w:p>
    <w:p w14:paraId="02026948" w14:textId="33F5AC77" w:rsidR="003F3907" w:rsidRPr="00AE5AC6" w:rsidRDefault="00000000">
      <w:pPr>
        <w:pStyle w:val="Nagwek2"/>
        <w:rPr>
          <w:lang w:val="pl-PL"/>
        </w:rPr>
      </w:pPr>
      <w:r w:rsidRPr="00AE5AC6">
        <w:rPr>
          <w:rFonts w:ascii="Calibri" w:eastAsia="Calibri" w:hAnsi="Calibri"/>
          <w:lang w:val="pl-PL"/>
        </w:rPr>
        <w:t>Najważniejsze standardy rodzic powinien znać przed podpisaniem ustawy</w:t>
      </w:r>
    </w:p>
    <w:p w14:paraId="318DB2E5" w14:textId="77777777" w:rsidR="003F3907" w:rsidRPr="00AE5AC6" w:rsidRDefault="00000000">
      <w:pPr>
        <w:rPr>
          <w:lang w:val="pl-PL"/>
        </w:rPr>
      </w:pPr>
      <w:r w:rsidRPr="00AE5AC6">
        <w:rPr>
          <w:rFonts w:eastAsia="Calibri"/>
          <w:lang w:val="pl-PL"/>
        </w:rPr>
        <w:t>Ministerstwo zapowiada szczegółowe wymagania żywieniowe, ale wskazuje zarazem, że mają one zostać określone dopiero w rozporządzeniu. Oznacza to, że przy ocenie ustawy rodzice nie znają jeszcze pełnej treści obowiązków, kosztów ich wykonania ani zasad odpowiedzialności.</w:t>
      </w:r>
    </w:p>
    <w:p w14:paraId="265D053E" w14:textId="77777777" w:rsidR="00AE5AC6" w:rsidRDefault="00000000" w:rsidP="00AE5AC6">
      <w:pPr>
        <w:rPr>
          <w:rFonts w:eastAsia="Calibri"/>
          <w:lang w:val="pl-PL"/>
        </w:rPr>
      </w:pPr>
      <w:r w:rsidRPr="00AE5AC6">
        <w:rPr>
          <w:rFonts w:eastAsia="Calibri"/>
          <w:lang w:val="pl-PL"/>
        </w:rPr>
        <w:t>Zdrowe żywienie jest potrzebne. Jednak rozwiązania zasadnicze powinny być wystarczająco określone, możliwe do oceny i poprzedzone konsultacją praktyków. Ustawa nie powinna być podpisywana na podstawie obietnicy, że kluczowe szczegóły zostaną dopracowane później.</w:t>
      </w:r>
    </w:p>
    <w:p w14:paraId="49A8B159" w14:textId="015EA142" w:rsidR="003F3907" w:rsidRPr="00AE5AC6" w:rsidRDefault="00000000" w:rsidP="00AE5AC6">
      <w:pPr>
        <w:rPr>
          <w:lang w:val="pl-PL"/>
        </w:rPr>
      </w:pPr>
      <w:r w:rsidRPr="00AE5AC6">
        <w:rPr>
          <w:rFonts w:eastAsia="Calibri"/>
          <w:b/>
          <w:color w:val="2E74B5"/>
          <w:sz w:val="26"/>
          <w:lang w:val="pl-PL"/>
        </w:rPr>
        <w:t>Nadzór powinien budzić zaufanie niezależnie od formy placówki</w:t>
      </w:r>
    </w:p>
    <w:p w14:paraId="67A86D0F" w14:textId="77777777" w:rsidR="003F3907" w:rsidRPr="00AE5AC6" w:rsidRDefault="00000000">
      <w:pPr>
        <w:rPr>
          <w:lang w:val="pl-PL"/>
        </w:rPr>
      </w:pPr>
      <w:r w:rsidRPr="00AE5AC6">
        <w:rPr>
          <w:rFonts w:eastAsia="Calibri"/>
          <w:lang w:val="pl-PL"/>
        </w:rPr>
        <w:t>Rodzic powinien mieć jednakową pewność jakości w placówce samorządowej i niepublicznej. Tymczasem gmina prowadzi własne placówki, a jednocześnie nadzoruje instytucje niepubliczne działające na tym samym terenie. Nawet przy dobrej woli urzędników taki układ łączy rolę organizatora, uczestnika systemu i kontrolera.</w:t>
      </w:r>
    </w:p>
    <w:p w14:paraId="436CCE76" w14:textId="77777777" w:rsidR="003F3907" w:rsidRPr="00AE5AC6" w:rsidRDefault="00000000">
      <w:pPr>
        <w:rPr>
          <w:lang w:val="pl-PL"/>
        </w:rPr>
      </w:pPr>
      <w:r w:rsidRPr="00AE5AC6">
        <w:rPr>
          <w:rFonts w:eastAsia="Calibri"/>
          <w:lang w:val="pl-PL"/>
        </w:rPr>
        <w:t>Potrzebne są przejrzyste, porównywalne kryteria kontroli, mechanizm wyłączenia w razie konfliktu ról oraz realna, szybka ścieżka weryfikacji ustaleń. Zaufania rodziców nie buduje surowość wobec jednej kategorii placówek, lecz bezstronność wobec wszystkich.</w:t>
      </w:r>
    </w:p>
    <w:p w14:paraId="403961EE" w14:textId="7DCAE4D0" w:rsidR="003F3907" w:rsidRPr="00AE5AC6" w:rsidRDefault="00000000">
      <w:pPr>
        <w:pStyle w:val="Nagwek2"/>
        <w:rPr>
          <w:lang w:val="pl-PL"/>
        </w:rPr>
      </w:pPr>
      <w:r w:rsidRPr="00AE5AC6">
        <w:rPr>
          <w:rFonts w:ascii="Calibri" w:eastAsia="Calibri" w:hAnsi="Calibri"/>
          <w:lang w:val="pl-PL"/>
        </w:rPr>
        <w:t>Państwo nie powinno różnicować ludzi wykonujących tę samą odpowiedzialną pracę</w:t>
      </w:r>
    </w:p>
    <w:p w14:paraId="746EB1DD" w14:textId="77777777" w:rsidR="003F3907" w:rsidRPr="00AE5AC6" w:rsidRDefault="00000000">
      <w:pPr>
        <w:rPr>
          <w:lang w:val="pl-PL"/>
        </w:rPr>
      </w:pPr>
      <w:r w:rsidRPr="00AE5AC6">
        <w:rPr>
          <w:rFonts w:eastAsia="Calibri"/>
          <w:lang w:val="pl-PL"/>
        </w:rPr>
        <w:t>Opiekunki i opiekunowie w placówkach publicznych i niepublicznych odpowiadają za to samo: bezpieczeństwo, rozwój i codzienny dobrostan dzieci. Jeżeli uprawnienia, finansowanie lub terminy ich uzyskania zależą przede wszystkim od formy prawnej pracodawcy, państwo wysyła kadrze sprzeczny sygnał i utrudnia stabilizację zatrudnienia w części systemu.</w:t>
      </w:r>
    </w:p>
    <w:p w14:paraId="55AA5349" w14:textId="77777777" w:rsidR="003F3907" w:rsidRPr="00AE5AC6" w:rsidRDefault="00000000">
      <w:pPr>
        <w:rPr>
          <w:lang w:val="pl-PL"/>
        </w:rPr>
      </w:pPr>
      <w:r w:rsidRPr="00AE5AC6">
        <w:rPr>
          <w:rFonts w:eastAsia="Calibri"/>
          <w:lang w:val="pl-PL"/>
        </w:rPr>
        <w:t>Dla rodzica nie jest ważne, kto jest właścicielem placówki. Ważne jest, czy dzieckiem opiekuje się kompetentna, spokojna i dobrze traktowana osoba. Równe wymagania powinny iść w parze z racjonalnie równym wsparciem służącym dziecku.</w:t>
      </w:r>
    </w:p>
    <w:p w14:paraId="0249F5DC" w14:textId="3A25C334" w:rsidR="003F3907" w:rsidRPr="00AE5AC6" w:rsidRDefault="00000000">
      <w:pPr>
        <w:pStyle w:val="Nagwek2"/>
        <w:rPr>
          <w:lang w:val="pl-PL"/>
        </w:rPr>
      </w:pPr>
      <w:r w:rsidRPr="00AE5AC6">
        <w:rPr>
          <w:rFonts w:ascii="Calibri" w:eastAsia="Calibri" w:hAnsi="Calibri"/>
          <w:lang w:val="pl-PL"/>
        </w:rPr>
        <w:t>Koszt nowych obowiązków nie znika - może wrócić do rodziny</w:t>
      </w:r>
    </w:p>
    <w:p w14:paraId="6A69A055" w14:textId="77777777" w:rsidR="003F3907" w:rsidRPr="00AE5AC6" w:rsidRDefault="00000000">
      <w:pPr>
        <w:rPr>
          <w:lang w:val="pl-PL"/>
        </w:rPr>
      </w:pPr>
      <w:r w:rsidRPr="00AE5AC6">
        <w:rPr>
          <w:rFonts w:eastAsia="Calibri"/>
          <w:lang w:val="pl-PL"/>
        </w:rPr>
        <w:t>Ministerstwo wskazuje, że finansowanie systematycznego podnoszenia wiedzy opiekunów ma obciążać podmiot prowadzący. Szkolenia są potrzebne, ale w czasie szkolenia ktoś musi zapewnić zastępstwo, wypłacić wynagrodzenie i utrzymać ciągłość pracy. Bez rzetelnego finansowania i okresu dostosowawczego koszt może zostać przeniesiony na opłaty rodziców, oszczędności kadrowe albo rezygnację z działalności.</w:t>
      </w:r>
    </w:p>
    <w:p w14:paraId="7138CB8C" w14:textId="77777777" w:rsidR="003F3907" w:rsidRPr="00AE5AC6" w:rsidRDefault="00000000">
      <w:pPr>
        <w:rPr>
          <w:lang w:val="pl-PL"/>
        </w:rPr>
      </w:pPr>
      <w:r w:rsidRPr="00AE5AC6">
        <w:rPr>
          <w:rFonts w:eastAsia="Calibri"/>
          <w:lang w:val="pl-PL"/>
        </w:rPr>
        <w:lastRenderedPageBreak/>
        <w:t>Prawo rodzinne i społeczne powinno być oceniane także według prostego kryterium: czy zwykła rodzina zachowa dostęp do bezpiecznego miejsca opieki bez nieprzewidzianego wzrostu kosztów.</w:t>
      </w:r>
    </w:p>
    <w:p w14:paraId="2AE5B591" w14:textId="58B003FF" w:rsidR="003F3907" w:rsidRPr="00AE5AC6" w:rsidRDefault="00000000">
      <w:pPr>
        <w:pStyle w:val="Nagwek2"/>
        <w:rPr>
          <w:lang w:val="pl-PL"/>
        </w:rPr>
      </w:pPr>
      <w:r w:rsidRPr="00AE5AC6">
        <w:rPr>
          <w:rFonts w:ascii="Calibri" w:eastAsia="Calibri" w:hAnsi="Calibri"/>
          <w:lang w:val="pl-PL"/>
        </w:rPr>
        <w:t>Weto może naprawić ustawę, a nie zatrzymać potrzebne zmiany</w:t>
      </w:r>
    </w:p>
    <w:p w14:paraId="49735152" w14:textId="77777777" w:rsidR="003F3907" w:rsidRPr="00AE5AC6" w:rsidRDefault="00000000">
      <w:pPr>
        <w:rPr>
          <w:lang w:val="pl-PL"/>
        </w:rPr>
      </w:pPr>
      <w:r w:rsidRPr="00AE5AC6">
        <w:rPr>
          <w:rFonts w:eastAsia="Calibri"/>
          <w:lang w:val="pl-PL"/>
        </w:rPr>
        <w:t>W swoich decyzjach wskazywał Pan, że weto może prowadzić do poprawienia ustawy: ograniczenia nadmiernej regulacji, rozłożenia obowiązków w czasie i zmniejszenia ryzyka wzrostu cen. Taki właśnie skutek powinno mieć weto w tej sprawie.</w:t>
      </w:r>
    </w:p>
    <w:p w14:paraId="680381DD" w14:textId="77777777" w:rsidR="003F3907" w:rsidRPr="00AE5AC6" w:rsidRDefault="00000000" w:rsidP="00AE5AC6">
      <w:pPr>
        <w:rPr>
          <w:lang w:val="pl-PL"/>
        </w:rPr>
      </w:pPr>
      <w:r w:rsidRPr="00AE5AC6">
        <w:rPr>
          <w:rFonts w:eastAsia="Calibri"/>
          <w:lang w:val="pl-PL"/>
        </w:rPr>
        <w:t>Proszę o zwrócenie ustawy Sejmowi i postawienie warunków, po których spełnieniu rodzice będą mogli poprzeć reformę:</w:t>
      </w:r>
    </w:p>
    <w:p w14:paraId="6999FBA3" w14:textId="77777777" w:rsidR="003F3907" w:rsidRPr="00AE5AC6" w:rsidRDefault="00000000" w:rsidP="00AE5AC6">
      <w:pPr>
        <w:pStyle w:val="PetitionList"/>
        <w:numPr>
          <w:ilvl w:val="0"/>
          <w:numId w:val="1"/>
        </w:numPr>
        <w:jc w:val="both"/>
        <w:rPr>
          <w:lang w:val="pl-PL"/>
        </w:rPr>
      </w:pPr>
      <w:r w:rsidRPr="00AE5AC6">
        <w:rPr>
          <w:rFonts w:eastAsia="Calibri"/>
          <w:color w:val="000000"/>
          <w:lang w:val="pl-PL"/>
        </w:rPr>
        <w:t>pełny, publiczny bilans miejsc utworzonych i zlikwidowanych, z podziałem terytorialnym oraz oceną wpływu na opłaty ponoszone przez rodziców;</w:t>
      </w:r>
    </w:p>
    <w:p w14:paraId="53577BD3" w14:textId="77777777" w:rsidR="003F3907" w:rsidRPr="00AE5AC6" w:rsidRDefault="00000000" w:rsidP="00AE5AC6">
      <w:pPr>
        <w:pStyle w:val="PetitionList"/>
        <w:numPr>
          <w:ilvl w:val="0"/>
          <w:numId w:val="1"/>
        </w:numPr>
        <w:jc w:val="both"/>
        <w:rPr>
          <w:lang w:val="pl-PL"/>
        </w:rPr>
      </w:pPr>
      <w:r w:rsidRPr="00AE5AC6">
        <w:rPr>
          <w:rFonts w:eastAsia="Calibri"/>
          <w:color w:val="000000"/>
          <w:lang w:val="pl-PL"/>
        </w:rPr>
        <w:t>przedstawienie projektów kluczowych rozporządzeń wraz z oceną kosztów przed ponownym uchwaleniem ustawy;</w:t>
      </w:r>
    </w:p>
    <w:p w14:paraId="5E361ECC" w14:textId="77777777" w:rsidR="003F3907" w:rsidRPr="00AE5AC6" w:rsidRDefault="00000000" w:rsidP="00AE5AC6">
      <w:pPr>
        <w:pStyle w:val="PetitionList"/>
        <w:numPr>
          <w:ilvl w:val="0"/>
          <w:numId w:val="1"/>
        </w:numPr>
        <w:jc w:val="both"/>
        <w:rPr>
          <w:lang w:val="pl-PL"/>
        </w:rPr>
      </w:pPr>
      <w:r w:rsidRPr="00AE5AC6">
        <w:rPr>
          <w:rFonts w:eastAsia="Calibri"/>
          <w:color w:val="000000"/>
          <w:lang w:val="pl-PL"/>
        </w:rPr>
        <w:t>jednolite i bezstronne zasady nadzoru nad placówkami publicznymi i niepublicznymi oraz skuteczny mechanizm weryfikacji decyzji;</w:t>
      </w:r>
    </w:p>
    <w:p w14:paraId="5D486D72" w14:textId="77777777" w:rsidR="003F3907" w:rsidRPr="00AE5AC6" w:rsidRDefault="00000000" w:rsidP="00AE5AC6">
      <w:pPr>
        <w:pStyle w:val="PetitionList"/>
        <w:numPr>
          <w:ilvl w:val="0"/>
          <w:numId w:val="1"/>
        </w:numPr>
        <w:jc w:val="both"/>
        <w:rPr>
          <w:lang w:val="pl-PL"/>
        </w:rPr>
      </w:pPr>
      <w:r w:rsidRPr="00AE5AC6">
        <w:rPr>
          <w:rFonts w:eastAsia="Calibri"/>
          <w:color w:val="000000"/>
          <w:lang w:val="pl-PL"/>
        </w:rPr>
        <w:t>racjonalne, niedyskryminujące zasady wsparcia kadry bez względu na formę prawną podmiotu prowadzącego;</w:t>
      </w:r>
    </w:p>
    <w:p w14:paraId="3E9B997D" w14:textId="77777777" w:rsidR="003F3907" w:rsidRPr="00AE5AC6" w:rsidRDefault="00000000" w:rsidP="00AE5AC6">
      <w:pPr>
        <w:pStyle w:val="PetitionList"/>
        <w:numPr>
          <w:ilvl w:val="0"/>
          <w:numId w:val="1"/>
        </w:numPr>
        <w:jc w:val="both"/>
        <w:rPr>
          <w:lang w:val="pl-PL"/>
        </w:rPr>
      </w:pPr>
      <w:r w:rsidRPr="00AE5AC6">
        <w:rPr>
          <w:rFonts w:eastAsia="Calibri"/>
          <w:color w:val="000000"/>
          <w:lang w:val="pl-PL"/>
        </w:rPr>
        <w:t>realny okres dostosowawczy, finansowanie nowych obowiązków i obowiązkową ocenę skutków po pierwszym roku funkcjonowania przepisów;</w:t>
      </w:r>
    </w:p>
    <w:p w14:paraId="725C198A" w14:textId="77777777" w:rsidR="003F3907" w:rsidRPr="00AE5AC6" w:rsidRDefault="00000000" w:rsidP="00AE5AC6">
      <w:pPr>
        <w:pStyle w:val="PetitionList"/>
        <w:numPr>
          <w:ilvl w:val="0"/>
          <w:numId w:val="1"/>
        </w:numPr>
        <w:jc w:val="both"/>
        <w:rPr>
          <w:lang w:val="pl-PL"/>
        </w:rPr>
      </w:pPr>
      <w:r w:rsidRPr="00AE5AC6">
        <w:rPr>
          <w:rFonts w:eastAsia="Calibri"/>
          <w:color w:val="000000"/>
          <w:lang w:val="pl-PL"/>
        </w:rPr>
        <w:t>rzeczywisty udział rodziców, opiekunów i przedstawicieli wszystkich typów placówek w przygotowaniu poprawionej regulacji.</w:t>
      </w:r>
    </w:p>
    <w:p w14:paraId="524CA7C3" w14:textId="77777777" w:rsidR="003F3907" w:rsidRPr="00AE5AC6" w:rsidRDefault="00000000">
      <w:pPr>
        <w:pStyle w:val="Nagwek1"/>
        <w:rPr>
          <w:lang w:val="pl-PL"/>
        </w:rPr>
      </w:pPr>
      <w:r w:rsidRPr="00AE5AC6">
        <w:rPr>
          <w:rFonts w:ascii="Calibri" w:eastAsia="Calibri" w:hAnsi="Calibri"/>
          <w:lang w:val="pl-PL"/>
        </w:rPr>
        <w:t>Prośba końcowa</w:t>
      </w:r>
    </w:p>
    <w:p w14:paraId="61CCBB94" w14:textId="77777777" w:rsidR="003F3907" w:rsidRPr="00AE5AC6" w:rsidRDefault="00000000">
      <w:pPr>
        <w:rPr>
          <w:lang w:val="pl-PL"/>
        </w:rPr>
      </w:pPr>
      <w:r w:rsidRPr="00AE5AC6">
        <w:rPr>
          <w:rFonts w:eastAsia="Calibri"/>
          <w:lang w:val="pl-PL"/>
        </w:rPr>
        <w:t>Panie Prezydencie, proszę o decyzję, która postawi dobro dziecka i trwałość rodziny ponad tempo prac legislacyjnych. Najmłodsze dzieci nie mogą ponosić kosztu rozwiązań, których skutków nie policzono wystarczająco dokładnie, a rodzice nie powinni dowiadywać się po wejściu ustawy w życie, że obiecana poprawa jakości oznacza wyższą opłatę, mniej czasu opiekuna albo utratę wybranej placówki.</w:t>
      </w:r>
    </w:p>
    <w:p w14:paraId="06451182" w14:textId="77777777" w:rsidR="003F3907" w:rsidRPr="00AE5AC6" w:rsidRDefault="00000000">
      <w:pPr>
        <w:rPr>
          <w:lang w:val="pl-PL"/>
        </w:rPr>
      </w:pPr>
      <w:r w:rsidRPr="00AE5AC6">
        <w:rPr>
          <w:rFonts w:eastAsia="Calibri"/>
          <w:lang w:val="pl-PL"/>
        </w:rPr>
        <w:t>Nie proszę o rezygnację z reformy. Proszę o reformę lepszą: jasną, wykonalną, równo traktującą uczestników systemu i opartą na pełnych danych. Dlatego wnoszę jak na wstępie.</w:t>
      </w:r>
    </w:p>
    <w:p w14:paraId="119EDE5E" w14:textId="0DCE1DC7" w:rsidR="003F3907" w:rsidRPr="00AE5AC6" w:rsidRDefault="00000000" w:rsidP="00AE5AC6">
      <w:pPr>
        <w:spacing w:before="400" w:after="0"/>
        <w:jc w:val="right"/>
        <w:rPr>
          <w:lang w:val="pl-PL"/>
        </w:rPr>
      </w:pPr>
      <w:r w:rsidRPr="00AE5AC6">
        <w:rPr>
          <w:rFonts w:eastAsia="Calibri"/>
          <w:i/>
          <w:lang w:val="pl-PL"/>
        </w:rPr>
        <w:t>Z poważaniem</w:t>
      </w:r>
      <w:r w:rsidRPr="00AE5AC6">
        <w:rPr>
          <w:rFonts w:eastAsia="Calibri"/>
          <w:i/>
          <w:lang w:val="pl-PL"/>
        </w:rPr>
        <w:br/>
      </w:r>
      <w:r w:rsidRPr="00AE5AC6">
        <w:rPr>
          <w:rFonts w:eastAsia="Calibri"/>
          <w:i/>
          <w:lang w:val="pl-PL"/>
        </w:rPr>
        <w:br/>
      </w:r>
      <w:r w:rsidRPr="00AE5AC6">
        <w:rPr>
          <w:rFonts w:eastAsia="Calibri"/>
          <w:lang w:val="pl-PL"/>
        </w:rPr>
        <w:t>............................................................</w:t>
      </w:r>
      <w:r w:rsidRPr="00AE5AC6">
        <w:rPr>
          <w:rFonts w:eastAsia="Calibri"/>
          <w:lang w:val="pl-PL"/>
        </w:rPr>
        <w:br/>
      </w:r>
      <w:r w:rsidRPr="00AE5AC6">
        <w:rPr>
          <w:rFonts w:eastAsia="Calibri"/>
          <w:color w:val="5F6368"/>
          <w:sz w:val="18"/>
          <w:lang w:val="pl-PL"/>
        </w:rPr>
        <w:t>czytelny podpis</w:t>
      </w:r>
    </w:p>
    <w:sectPr w:rsidR="003F3907" w:rsidRPr="00AE5AC6" w:rsidSect="00034616">
      <w:footerReference w:type="default" r:id="rId8"/>
      <w:pgSz w:w="11906" w:h="16838"/>
      <w:pgMar w:top="1191" w:right="1304" w:bottom="1134" w:left="1304" w:header="62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819E8" w14:textId="77777777" w:rsidR="00334D23" w:rsidRDefault="00334D23">
      <w:pPr>
        <w:spacing w:after="0" w:line="240" w:lineRule="auto"/>
      </w:pPr>
      <w:r>
        <w:separator/>
      </w:r>
    </w:p>
  </w:endnote>
  <w:endnote w:type="continuationSeparator" w:id="0">
    <w:p w14:paraId="2B37C773" w14:textId="77777777" w:rsidR="00334D23" w:rsidRDefault="00334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E6B5" w14:textId="77777777" w:rsidR="003F3907" w:rsidRDefault="00000000">
    <w:pPr>
      <w:pStyle w:val="Stopka"/>
      <w:jc w:val="right"/>
    </w:pPr>
    <w:proofErr w:type="spellStart"/>
    <w:r>
      <w:rPr>
        <w:rFonts w:eastAsia="Calibri"/>
        <w:color w:val="5F6368"/>
        <w:sz w:val="18"/>
      </w:rPr>
      <w:t>strona</w:t>
    </w:r>
    <w:proofErr w:type="spellEnd"/>
    <w:r>
      <w:rPr>
        <w:rFonts w:eastAsia="Calibri"/>
        <w:color w:val="5F6368"/>
        <w:sz w:val="18"/>
      </w:rPr>
      <w:t xml:space="preserve"> </w:t>
    </w:r>
    <w:r>
      <w:rPr>
        <w:rFonts w:eastAsia="Calibri"/>
        <w:color w:val="5F6368"/>
        <w:sz w:val="18"/>
      </w:rPr>
      <w:fldChar w:fldCharType="begin"/>
    </w:r>
    <w:r>
      <w:rPr>
        <w:rFonts w:eastAsia="Calibri"/>
        <w:color w:val="5F6368"/>
        <w:sz w:val="18"/>
      </w:rPr>
      <w:instrText>PAGE</w:instrText>
    </w:r>
    <w:r>
      <w:rPr>
        <w:rFonts w:eastAsia="Calibri"/>
        <w:color w:val="5F6368"/>
        <w:sz w:val="18"/>
      </w:rPr>
      <w:fldChar w:fldCharType="separate"/>
    </w:r>
    <w:r>
      <w:rPr>
        <w:rFonts w:eastAsia="Calibri"/>
        <w:color w:val="5F6368"/>
        <w:sz w:val="18"/>
      </w:rPr>
      <w:t>1</w:t>
    </w:r>
    <w:r>
      <w:rPr>
        <w:rFonts w:eastAsia="Calibri"/>
        <w:color w:val="5F6368"/>
        <w:sz w:val="18"/>
      </w:rPr>
      <w:fldChar w:fldCharType="end"/>
    </w:r>
    <w:r>
      <w:rPr>
        <w:rFonts w:eastAsia="Calibri"/>
        <w:color w:val="5F6368"/>
        <w:sz w:val="18"/>
      </w:rPr>
      <w:t xml:space="preserve"> z </w:t>
    </w:r>
    <w:r>
      <w:rPr>
        <w:rFonts w:eastAsia="Calibri"/>
        <w:color w:val="5F6368"/>
        <w:sz w:val="18"/>
      </w:rPr>
      <w:fldChar w:fldCharType="begin"/>
    </w:r>
    <w:r>
      <w:rPr>
        <w:rFonts w:eastAsia="Calibri"/>
        <w:color w:val="5F6368"/>
        <w:sz w:val="18"/>
      </w:rPr>
      <w:instrText>NUMPAGES</w:instrText>
    </w:r>
    <w:r>
      <w:rPr>
        <w:rFonts w:eastAsia="Calibri"/>
        <w:color w:val="5F6368"/>
        <w:sz w:val="18"/>
      </w:rPr>
      <w:fldChar w:fldCharType="separate"/>
    </w:r>
    <w:r>
      <w:rPr>
        <w:rFonts w:eastAsia="Calibri"/>
        <w:color w:val="5F6368"/>
        <w:sz w:val="18"/>
      </w:rPr>
      <w:t>1</w:t>
    </w:r>
    <w:r>
      <w:rPr>
        <w:rFonts w:eastAsia="Calibri"/>
        <w:color w:val="5F6368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386CE" w14:textId="77777777" w:rsidR="00334D23" w:rsidRDefault="00334D23">
      <w:pPr>
        <w:spacing w:after="0" w:line="240" w:lineRule="auto"/>
      </w:pPr>
      <w:r>
        <w:separator/>
      </w:r>
    </w:p>
  </w:footnote>
  <w:footnote w:type="continuationSeparator" w:id="0">
    <w:p w14:paraId="7F7F6C3E" w14:textId="77777777" w:rsidR="00334D23" w:rsidRDefault="00334D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8807AC4"/>
    <w:multiLevelType w:val="singleLevel"/>
    <w:tmpl w:val="EE5CD792"/>
    <w:lvl w:ilvl="0">
      <w:start w:val="1"/>
      <w:numFmt w:val="decimal"/>
      <w:pStyle w:val="Listapunktowana"/>
      <w:lvlText w:val="%1."/>
      <w:lvlJc w:val="left"/>
      <w:pPr>
        <w:tabs>
          <w:tab w:val="num" w:pos="540"/>
        </w:tabs>
        <w:spacing w:after="80" w:line="290" w:lineRule="auto"/>
        <w:ind w:left="540" w:hanging="280"/>
      </w:pPr>
    </w:lvl>
  </w:abstractNum>
  <w:abstractNum w:abstractNumId="10" w15:restartNumberingAfterBreak="0">
    <w:nsid w:val="6ACB45FE"/>
    <w:multiLevelType w:val="singleLevel"/>
    <w:tmpl w:val="CF34883A"/>
    <w:lvl w:ilvl="0">
      <w:start w:val="1"/>
      <w:numFmt w:val="decimal"/>
      <w:lvlText w:val="%1."/>
      <w:lvlJc w:val="left"/>
      <w:pPr>
        <w:tabs>
          <w:tab w:val="num" w:pos="540"/>
        </w:tabs>
        <w:spacing w:after="80" w:line="290" w:lineRule="auto"/>
        <w:ind w:left="540" w:hanging="280"/>
      </w:pPr>
    </w:lvl>
  </w:abstractNum>
  <w:num w:numId="1" w16cid:durableId="52091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4D23"/>
    <w:rsid w:val="00384199"/>
    <w:rsid w:val="003F3907"/>
    <w:rsid w:val="00AA1D8D"/>
    <w:rsid w:val="00AE5AC6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027EC"/>
  <w14:defaultImageDpi w14:val="300"/>
  <w15:docId w15:val="{76C686C3-6AA6-4BDE-B40A-9A924230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60" w:line="320" w:lineRule="auto"/>
      <w:jc w:val="both"/>
    </w:pPr>
    <w:rPr>
      <w:rFonts w:ascii="Calibri" w:hAnsi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etitionList">
    <w:name w:val="Petition List"/>
    <w:pPr>
      <w:spacing w:after="80" w:line="290" w:lineRule="auto"/>
    </w:pPr>
    <w:rPr>
      <w:rFonts w:ascii="Calibri" w:hAnsi="Calibri"/>
    </w:rPr>
  </w:style>
  <w:style w:type="paragraph" w:customStyle="1" w:styleId="Instruction">
    <w:name w:val="Instruction"/>
    <w:pPr>
      <w:spacing w:before="100" w:after="160" w:line="264" w:lineRule="auto"/>
      <w:ind w:left="198" w:right="198"/>
    </w:pPr>
    <w:rPr>
      <w:rFonts w:ascii="Calibri" w:hAnsi="Calibri"/>
      <w:color w:val="5F6368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1021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petycji rodzica do Prezydenta RP - ustawa żłobkowa</dc:title>
  <dc:subject>Petycja o odmowę podpisania ustawy z dnia 17 lipca 2026 r.</dc:subject>
  <dc:creator>Izba Gospodarcza Branży Wczesnodziecięcej</dc:creator>
  <cp:keywords>petycja, rodzic, opieka nad dziećmi do lat 3, weto, UD181, druk 2698</cp:keywords>
  <dc:description>generated by python-docx</dc:description>
  <cp:lastModifiedBy>Grzegorz Jasiński</cp:lastModifiedBy>
  <cp:revision>2</cp:revision>
  <dcterms:created xsi:type="dcterms:W3CDTF">2013-12-23T23:15:00Z</dcterms:created>
  <dcterms:modified xsi:type="dcterms:W3CDTF">2026-08-07T16:45:00Z</dcterms:modified>
  <cp:category/>
</cp:coreProperties>
</file>