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FAFF" w14:textId="4EA8D057" w:rsidR="00140D91" w:rsidRDefault="00140D91" w:rsidP="000D3412">
      <w:pPr>
        <w:pStyle w:val="Instruction"/>
        <w:pBdr>
          <w:left w:val="single" w:sz="18" w:space="6" w:color="2E74B5"/>
        </w:pBdr>
        <w:shd w:val="clear" w:color="auto" w:fill="F4F6F9"/>
        <w:ind w:left="0"/>
      </w:pPr>
    </w:p>
    <w:tbl>
      <w:tblPr>
        <w:tblStyle w:val="Tabela-Siatka"/>
        <w:tblW w:w="9360" w:type="dxa"/>
        <w:tblInd w:w="120" w:type="dxa"/>
        <w:tblLayout w:type="fixed"/>
        <w:tblLook w:val="04A0" w:firstRow="1" w:lastRow="0" w:firstColumn="1" w:lastColumn="0" w:noHBand="0" w:noVBand="1"/>
      </w:tblPr>
      <w:tblGrid>
        <w:gridCol w:w="2700"/>
        <w:gridCol w:w="6660"/>
      </w:tblGrid>
      <w:tr w:rsidR="00140D91" w14:paraId="51AC4BBE" w14:textId="77777777">
        <w:tc>
          <w:tcPr>
            <w:tcW w:w="2700" w:type="dxa"/>
            <w:tcMar>
              <w:top w:w="80" w:type="dxa"/>
              <w:left w:w="120" w:type="dxa"/>
              <w:bottom w:w="80" w:type="dxa"/>
              <w:right w:w="120" w:type="dxa"/>
            </w:tcMar>
            <w:vAlign w:val="center"/>
          </w:tcPr>
          <w:p w14:paraId="19A40C23" w14:textId="77777777" w:rsidR="00140D91" w:rsidRDefault="00000000">
            <w:pPr>
              <w:spacing w:after="0"/>
              <w:jc w:val="left"/>
            </w:pPr>
            <w:r>
              <w:rPr>
                <w:rFonts w:eastAsia="Calibri"/>
                <w:b/>
                <w:color w:val="1F4D78"/>
                <w:sz w:val="18"/>
              </w:rPr>
              <w:t>Miejscowość i data</w:t>
            </w:r>
          </w:p>
        </w:tc>
        <w:tc>
          <w:tcPr>
            <w:tcW w:w="6660" w:type="dxa"/>
            <w:tcMar>
              <w:top w:w="80" w:type="dxa"/>
              <w:left w:w="120" w:type="dxa"/>
              <w:bottom w:w="80" w:type="dxa"/>
              <w:right w:w="120" w:type="dxa"/>
            </w:tcMar>
            <w:vAlign w:val="center"/>
          </w:tcPr>
          <w:p w14:paraId="45726C29" w14:textId="77777777" w:rsidR="00140D91" w:rsidRDefault="00000000">
            <w:pPr>
              <w:spacing w:after="0"/>
              <w:jc w:val="left"/>
            </w:pPr>
            <w:r>
              <w:rPr>
                <w:rFonts w:eastAsia="Calibri"/>
                <w:color w:val="5F6368"/>
                <w:sz w:val="19"/>
              </w:rPr>
              <w:t>[............................................................]</w:t>
            </w:r>
          </w:p>
        </w:tc>
      </w:tr>
      <w:tr w:rsidR="00140D91" w14:paraId="220C5F4D" w14:textId="77777777">
        <w:tc>
          <w:tcPr>
            <w:tcW w:w="2700" w:type="dxa"/>
            <w:tcMar>
              <w:top w:w="80" w:type="dxa"/>
              <w:left w:w="120" w:type="dxa"/>
              <w:bottom w:w="80" w:type="dxa"/>
              <w:right w:w="120" w:type="dxa"/>
            </w:tcMar>
            <w:vAlign w:val="center"/>
          </w:tcPr>
          <w:p w14:paraId="59E2929C" w14:textId="77777777" w:rsidR="00140D91" w:rsidRPr="000D3412" w:rsidRDefault="00000000">
            <w:pPr>
              <w:spacing w:after="0"/>
              <w:jc w:val="left"/>
              <w:rPr>
                <w:lang w:val="pl-PL"/>
              </w:rPr>
            </w:pPr>
            <w:r w:rsidRPr="000D3412">
              <w:rPr>
                <w:rFonts w:eastAsia="Calibri"/>
                <w:b/>
                <w:color w:val="1F4D78"/>
                <w:sz w:val="18"/>
                <w:lang w:val="pl-PL"/>
              </w:rPr>
              <w:t>Imię i nazwisko / nazwa podmiotu</w:t>
            </w:r>
          </w:p>
        </w:tc>
        <w:tc>
          <w:tcPr>
            <w:tcW w:w="6660" w:type="dxa"/>
            <w:tcMar>
              <w:top w:w="80" w:type="dxa"/>
              <w:left w:w="120" w:type="dxa"/>
              <w:bottom w:w="80" w:type="dxa"/>
              <w:right w:w="120" w:type="dxa"/>
            </w:tcMar>
            <w:vAlign w:val="center"/>
          </w:tcPr>
          <w:p w14:paraId="641F5BA9" w14:textId="77777777" w:rsidR="00140D91" w:rsidRDefault="00000000">
            <w:pPr>
              <w:spacing w:after="0"/>
              <w:jc w:val="left"/>
            </w:pPr>
            <w:r>
              <w:rPr>
                <w:rFonts w:eastAsia="Calibri"/>
                <w:color w:val="5F6368"/>
                <w:sz w:val="19"/>
              </w:rPr>
              <w:t>[............................................................]</w:t>
            </w:r>
          </w:p>
        </w:tc>
      </w:tr>
      <w:tr w:rsidR="00140D91" w14:paraId="0C6FE7AC" w14:textId="77777777">
        <w:tc>
          <w:tcPr>
            <w:tcW w:w="2700" w:type="dxa"/>
            <w:tcMar>
              <w:top w:w="80" w:type="dxa"/>
              <w:left w:w="120" w:type="dxa"/>
              <w:bottom w:w="80" w:type="dxa"/>
              <w:right w:w="120" w:type="dxa"/>
            </w:tcMar>
            <w:vAlign w:val="center"/>
          </w:tcPr>
          <w:p w14:paraId="4FB0DEF2" w14:textId="77777777" w:rsidR="00140D91" w:rsidRDefault="00000000">
            <w:pPr>
              <w:spacing w:after="0"/>
              <w:jc w:val="left"/>
            </w:pPr>
            <w:r>
              <w:rPr>
                <w:rFonts w:eastAsia="Calibri"/>
                <w:b/>
                <w:color w:val="1F4D78"/>
                <w:sz w:val="18"/>
              </w:rPr>
              <w:t>Adres zamieszkania / siedziby</w:t>
            </w:r>
          </w:p>
        </w:tc>
        <w:tc>
          <w:tcPr>
            <w:tcW w:w="6660" w:type="dxa"/>
            <w:tcMar>
              <w:top w:w="80" w:type="dxa"/>
              <w:left w:w="120" w:type="dxa"/>
              <w:bottom w:w="80" w:type="dxa"/>
              <w:right w:w="120" w:type="dxa"/>
            </w:tcMar>
            <w:vAlign w:val="center"/>
          </w:tcPr>
          <w:p w14:paraId="4F65B8D0" w14:textId="77777777" w:rsidR="00140D91" w:rsidRDefault="00000000">
            <w:pPr>
              <w:spacing w:after="0"/>
              <w:jc w:val="left"/>
            </w:pPr>
            <w:r>
              <w:rPr>
                <w:rFonts w:eastAsia="Calibri"/>
                <w:color w:val="5F6368"/>
                <w:sz w:val="19"/>
              </w:rPr>
              <w:t>[............................................................]</w:t>
            </w:r>
          </w:p>
        </w:tc>
      </w:tr>
      <w:tr w:rsidR="00140D91" w14:paraId="0D10F265" w14:textId="77777777">
        <w:tc>
          <w:tcPr>
            <w:tcW w:w="2700" w:type="dxa"/>
            <w:tcMar>
              <w:top w:w="80" w:type="dxa"/>
              <w:left w:w="120" w:type="dxa"/>
              <w:bottom w:w="80" w:type="dxa"/>
              <w:right w:w="120" w:type="dxa"/>
            </w:tcMar>
            <w:vAlign w:val="center"/>
          </w:tcPr>
          <w:p w14:paraId="3C17585F" w14:textId="77777777" w:rsidR="00140D91" w:rsidRDefault="00000000">
            <w:pPr>
              <w:spacing w:after="0"/>
              <w:jc w:val="left"/>
            </w:pPr>
            <w:r>
              <w:rPr>
                <w:rFonts w:eastAsia="Calibri"/>
                <w:b/>
                <w:color w:val="1F4D78"/>
                <w:sz w:val="18"/>
              </w:rPr>
              <w:t>NIP / KRS (jeżeli dotyczy)</w:t>
            </w:r>
          </w:p>
        </w:tc>
        <w:tc>
          <w:tcPr>
            <w:tcW w:w="6660" w:type="dxa"/>
            <w:tcMar>
              <w:top w:w="80" w:type="dxa"/>
              <w:left w:w="120" w:type="dxa"/>
              <w:bottom w:w="80" w:type="dxa"/>
              <w:right w:w="120" w:type="dxa"/>
            </w:tcMar>
            <w:vAlign w:val="center"/>
          </w:tcPr>
          <w:p w14:paraId="66A618C4" w14:textId="77777777" w:rsidR="00140D91" w:rsidRDefault="00000000">
            <w:pPr>
              <w:spacing w:after="0"/>
              <w:jc w:val="left"/>
            </w:pPr>
            <w:r>
              <w:rPr>
                <w:rFonts w:eastAsia="Calibri"/>
                <w:color w:val="5F6368"/>
                <w:sz w:val="19"/>
              </w:rPr>
              <w:t>[............................................................]</w:t>
            </w:r>
          </w:p>
        </w:tc>
      </w:tr>
      <w:tr w:rsidR="00140D91" w14:paraId="3F412C77" w14:textId="77777777">
        <w:tc>
          <w:tcPr>
            <w:tcW w:w="2700" w:type="dxa"/>
            <w:tcMar>
              <w:top w:w="80" w:type="dxa"/>
              <w:left w:w="120" w:type="dxa"/>
              <w:bottom w:w="80" w:type="dxa"/>
              <w:right w:w="120" w:type="dxa"/>
            </w:tcMar>
            <w:vAlign w:val="center"/>
          </w:tcPr>
          <w:p w14:paraId="5E2FC257" w14:textId="77777777" w:rsidR="00140D91" w:rsidRDefault="00000000">
            <w:pPr>
              <w:spacing w:after="0"/>
              <w:jc w:val="left"/>
            </w:pPr>
            <w:r>
              <w:rPr>
                <w:rFonts w:eastAsia="Calibri"/>
                <w:b/>
                <w:color w:val="1F4D78"/>
                <w:sz w:val="18"/>
              </w:rPr>
              <w:t>Placówka i liczba miejsc</w:t>
            </w:r>
          </w:p>
        </w:tc>
        <w:tc>
          <w:tcPr>
            <w:tcW w:w="6660" w:type="dxa"/>
            <w:tcMar>
              <w:top w:w="80" w:type="dxa"/>
              <w:left w:w="120" w:type="dxa"/>
              <w:bottom w:w="80" w:type="dxa"/>
              <w:right w:w="120" w:type="dxa"/>
            </w:tcMar>
            <w:vAlign w:val="center"/>
          </w:tcPr>
          <w:p w14:paraId="693F5F8A" w14:textId="77777777" w:rsidR="00140D91" w:rsidRDefault="00000000">
            <w:pPr>
              <w:spacing w:after="0"/>
              <w:jc w:val="left"/>
            </w:pPr>
            <w:r>
              <w:rPr>
                <w:rFonts w:eastAsia="Calibri"/>
                <w:color w:val="5F6368"/>
                <w:sz w:val="19"/>
              </w:rPr>
              <w:t>[............................................................]</w:t>
            </w:r>
          </w:p>
        </w:tc>
      </w:tr>
      <w:tr w:rsidR="00140D91" w14:paraId="5C800519" w14:textId="77777777">
        <w:tc>
          <w:tcPr>
            <w:tcW w:w="2700" w:type="dxa"/>
            <w:tcMar>
              <w:top w:w="80" w:type="dxa"/>
              <w:left w:w="120" w:type="dxa"/>
              <w:bottom w:w="80" w:type="dxa"/>
              <w:right w:w="120" w:type="dxa"/>
            </w:tcMar>
            <w:vAlign w:val="center"/>
          </w:tcPr>
          <w:p w14:paraId="4253AA52" w14:textId="77777777" w:rsidR="00140D91" w:rsidRDefault="00000000">
            <w:pPr>
              <w:spacing w:after="0"/>
              <w:jc w:val="left"/>
            </w:pPr>
            <w:r>
              <w:rPr>
                <w:rFonts w:eastAsia="Calibri"/>
                <w:b/>
                <w:color w:val="1F4D78"/>
                <w:sz w:val="18"/>
              </w:rPr>
              <w:t>Osoba reprezentująca / funkcja</w:t>
            </w:r>
          </w:p>
        </w:tc>
        <w:tc>
          <w:tcPr>
            <w:tcW w:w="6660" w:type="dxa"/>
            <w:tcMar>
              <w:top w:w="80" w:type="dxa"/>
              <w:left w:w="120" w:type="dxa"/>
              <w:bottom w:w="80" w:type="dxa"/>
              <w:right w:w="120" w:type="dxa"/>
            </w:tcMar>
            <w:vAlign w:val="center"/>
          </w:tcPr>
          <w:p w14:paraId="1EB9E482" w14:textId="77777777" w:rsidR="00140D91" w:rsidRDefault="00000000">
            <w:pPr>
              <w:spacing w:after="0"/>
              <w:jc w:val="left"/>
            </w:pPr>
            <w:r>
              <w:rPr>
                <w:rFonts w:eastAsia="Calibri"/>
                <w:color w:val="5F6368"/>
                <w:sz w:val="19"/>
              </w:rPr>
              <w:t>[............................................................]</w:t>
            </w:r>
          </w:p>
        </w:tc>
      </w:tr>
      <w:tr w:rsidR="00140D91" w14:paraId="3AAFEF9B" w14:textId="77777777">
        <w:tc>
          <w:tcPr>
            <w:tcW w:w="2700" w:type="dxa"/>
            <w:tcMar>
              <w:top w:w="80" w:type="dxa"/>
              <w:left w:w="120" w:type="dxa"/>
              <w:bottom w:w="80" w:type="dxa"/>
              <w:right w:w="120" w:type="dxa"/>
            </w:tcMar>
            <w:vAlign w:val="center"/>
          </w:tcPr>
          <w:p w14:paraId="365080ED" w14:textId="77777777" w:rsidR="00140D91" w:rsidRDefault="00000000">
            <w:pPr>
              <w:spacing w:after="0"/>
              <w:jc w:val="left"/>
            </w:pPr>
            <w:r>
              <w:rPr>
                <w:rFonts w:eastAsia="Calibri"/>
                <w:b/>
                <w:color w:val="1F4D78"/>
                <w:sz w:val="18"/>
              </w:rPr>
              <w:t>E-mail (opcjonalnie)</w:t>
            </w:r>
          </w:p>
        </w:tc>
        <w:tc>
          <w:tcPr>
            <w:tcW w:w="6660" w:type="dxa"/>
            <w:tcMar>
              <w:top w:w="80" w:type="dxa"/>
              <w:left w:w="120" w:type="dxa"/>
              <w:bottom w:w="80" w:type="dxa"/>
              <w:right w:w="120" w:type="dxa"/>
            </w:tcMar>
            <w:vAlign w:val="center"/>
          </w:tcPr>
          <w:p w14:paraId="496ECCB4" w14:textId="77777777" w:rsidR="00140D91" w:rsidRDefault="00000000">
            <w:pPr>
              <w:spacing w:after="0"/>
              <w:jc w:val="left"/>
            </w:pPr>
            <w:r>
              <w:rPr>
                <w:rFonts w:eastAsia="Calibri"/>
                <w:color w:val="5F6368"/>
                <w:sz w:val="19"/>
              </w:rPr>
              <w:t>[............................................................]</w:t>
            </w:r>
          </w:p>
        </w:tc>
      </w:tr>
    </w:tbl>
    <w:p w14:paraId="0A87DB76" w14:textId="77777777" w:rsidR="00140D91" w:rsidRPr="000D3412" w:rsidRDefault="00000000">
      <w:pPr>
        <w:spacing w:before="240" w:after="0"/>
        <w:jc w:val="right"/>
        <w:rPr>
          <w:lang w:val="pl-PL"/>
        </w:rPr>
      </w:pPr>
      <w:r w:rsidRPr="000D3412">
        <w:rPr>
          <w:rFonts w:eastAsia="Calibri"/>
          <w:b/>
          <w:sz w:val="21"/>
          <w:lang w:val="pl-PL"/>
        </w:rPr>
        <w:t>Prezydent Rzeczypospolitej Polskiej</w:t>
      </w:r>
      <w:r w:rsidRPr="000D3412">
        <w:rPr>
          <w:rFonts w:eastAsia="Calibri"/>
          <w:b/>
          <w:sz w:val="21"/>
          <w:lang w:val="pl-PL"/>
        </w:rPr>
        <w:br/>
      </w:r>
      <w:r w:rsidRPr="000D3412">
        <w:rPr>
          <w:rFonts w:eastAsia="Calibri"/>
          <w:sz w:val="21"/>
          <w:lang w:val="pl-PL"/>
        </w:rPr>
        <w:t>Pan Karol Nawrocki</w:t>
      </w:r>
      <w:r w:rsidRPr="000D3412">
        <w:rPr>
          <w:rFonts w:eastAsia="Calibri"/>
          <w:sz w:val="21"/>
          <w:lang w:val="pl-PL"/>
        </w:rPr>
        <w:br/>
        <w:t>Kancelaria Prezydenta Rzeczypospolitej Polskiej</w:t>
      </w:r>
      <w:r w:rsidRPr="000D3412">
        <w:rPr>
          <w:rFonts w:eastAsia="Calibri"/>
          <w:sz w:val="21"/>
          <w:lang w:val="pl-PL"/>
        </w:rPr>
        <w:br/>
        <w:t>ul. Wiejska 10, 00-902 Warszawa</w:t>
      </w:r>
      <w:r w:rsidRPr="000D3412">
        <w:rPr>
          <w:rFonts w:eastAsia="Calibri"/>
          <w:sz w:val="21"/>
          <w:lang w:val="pl-PL"/>
        </w:rPr>
        <w:br/>
      </w:r>
    </w:p>
    <w:p w14:paraId="18770FD0" w14:textId="77777777" w:rsidR="00140D91" w:rsidRPr="000D3412" w:rsidRDefault="00000000">
      <w:pPr>
        <w:keepNext/>
        <w:rPr>
          <w:lang w:val="pl-PL"/>
        </w:rPr>
      </w:pPr>
      <w:r w:rsidRPr="000D3412">
        <w:rPr>
          <w:rFonts w:eastAsia="Calibri"/>
          <w:lang w:val="pl-PL"/>
        </w:rPr>
        <w:t>Szanowny Panie Prezydencie,</w:t>
      </w:r>
    </w:p>
    <w:p w14:paraId="2AA66D3D" w14:textId="3B26200D" w:rsidR="00140D91" w:rsidRPr="000D3412" w:rsidRDefault="00000000">
      <w:pPr>
        <w:keepLines/>
        <w:rPr>
          <w:lang w:val="pl-PL"/>
        </w:rPr>
      </w:pPr>
      <w:r w:rsidRPr="000D3412">
        <w:rPr>
          <w:rFonts w:eastAsia="Calibri"/>
          <w:lang w:val="pl-PL"/>
        </w:rPr>
        <w:t>prowadzę placówkę, w której odpowiadam jednocześnie za bezpieczeństwo dzieci, zgodność działalności z prawem, zatrudnienie kadry, rozliczenia publiczne oraz ciągłość finansową. Każdy nowy obowiązek ustawowy muszę przełożyć na procedurę, czas pracy, koszt i konkretną odpowiedzialność.</w:t>
      </w:r>
    </w:p>
    <w:p w14:paraId="4DB98C5C" w14:textId="77777777" w:rsidR="00140D91" w:rsidRPr="000D3412" w:rsidRDefault="00000000">
      <w:pPr>
        <w:rPr>
          <w:lang w:val="pl-PL"/>
        </w:rPr>
      </w:pPr>
      <w:r w:rsidRPr="000D3412">
        <w:rPr>
          <w:rFonts w:eastAsia="Calibri"/>
          <w:lang w:val="pl-PL"/>
        </w:rPr>
        <w:t>Nie kwestionuję potrzeby podnoszenia jakości opieki. Podmiot prowadzący ma szczególny obowiązek organizowania jej bezpiecznie i profesjonalnie. Sprzeciw budzi jednak regulacja, która rozszerza obowiązki i sankcje, pozostawiając istotne elementy do rozporządzeń, nie wskazując adekwatnego finansowania ani nie zapewniając dostatecznych przepisów przejściowych i gwarancji proceduralnych.</w:t>
      </w:r>
    </w:p>
    <w:p w14:paraId="624A7F09" w14:textId="77777777" w:rsidR="00140D91" w:rsidRPr="000D3412" w:rsidRDefault="00000000">
      <w:pPr>
        <w:rPr>
          <w:lang w:val="pl-PL"/>
        </w:rPr>
      </w:pPr>
      <w:r w:rsidRPr="000D3412">
        <w:rPr>
          <w:rFonts w:eastAsia="Calibri"/>
          <w:lang w:val="pl-PL"/>
        </w:rPr>
        <w:t>Przed podpisaniem ustawy konieczne jest zatem zbadanie nie tylko jej deklarowanych celów, lecz także wykonalności, proporcjonalności i skumulowanego wpływu na istniejące placówki. Gdy norma nie określa jasno obowiązku, a jego naruszenie może prowadzić do wykreślenia z rejestru, ryzyko regulacyjne staje się ryzykiem utraty całej działalności, miejsc pracy i opieki dla dzieci.</w:t>
      </w:r>
    </w:p>
    <w:p w14:paraId="5EF85F66" w14:textId="3D4D6EE0" w:rsidR="00140D91" w:rsidRPr="000D3412" w:rsidRDefault="00000000">
      <w:pPr>
        <w:pStyle w:val="Nagwek2"/>
        <w:jc w:val="left"/>
        <w:rPr>
          <w:lang w:val="pl-PL"/>
        </w:rPr>
      </w:pPr>
      <w:r w:rsidRPr="000D3412">
        <w:rPr>
          <w:rFonts w:ascii="Calibri" w:eastAsia="Calibri" w:hAnsi="Calibri"/>
          <w:lang w:val="pl-PL"/>
        </w:rPr>
        <w:t>Zasadnicze obowiązki i sankcje powinny wynikać z ustawy</w:t>
      </w:r>
    </w:p>
    <w:p w14:paraId="7970B1CE" w14:textId="77777777" w:rsidR="00140D91" w:rsidRPr="000D3412" w:rsidRDefault="00000000">
      <w:pPr>
        <w:rPr>
          <w:lang w:val="pl-PL"/>
        </w:rPr>
      </w:pPr>
      <w:r w:rsidRPr="000D3412">
        <w:rPr>
          <w:rFonts w:eastAsia="Calibri"/>
          <w:lang w:val="pl-PL"/>
        </w:rPr>
        <w:t xml:space="preserve">Ustawa pozostawia ministrowi określenie w rozporządzeniu istotnej treści obowiązkowych standardów opieki. Jednocześnie niespełnienie standardów może uruchamiać środki nadzorcze prowadzące nawet do wykreślenia placówki z rejestru. Podmiot prowadzący powinien móc ustalić z samej ustawy, jakie zachowanie jest wymagane, jakie uchybienie stanowi zagrożenie dla dziecka, a jakie ma charakter </w:t>
      </w:r>
      <w:proofErr w:type="gramStart"/>
      <w:r w:rsidRPr="000D3412">
        <w:rPr>
          <w:rFonts w:eastAsia="Calibri"/>
          <w:lang w:val="pl-PL"/>
        </w:rPr>
        <w:t>formalny,</w:t>
      </w:r>
      <w:proofErr w:type="gramEnd"/>
      <w:r w:rsidRPr="000D3412">
        <w:rPr>
          <w:rFonts w:eastAsia="Calibri"/>
          <w:lang w:val="pl-PL"/>
        </w:rPr>
        <w:t xml:space="preserve"> oraz jakie konsekwencje wiążą się z każdym z nich.</w:t>
      </w:r>
    </w:p>
    <w:p w14:paraId="73621F4C" w14:textId="77777777" w:rsidR="00140D91" w:rsidRPr="000D3412" w:rsidRDefault="00000000">
      <w:pPr>
        <w:rPr>
          <w:lang w:val="pl-PL"/>
        </w:rPr>
      </w:pPr>
      <w:r w:rsidRPr="000D3412">
        <w:rPr>
          <w:rFonts w:eastAsia="Calibri"/>
          <w:lang w:val="pl-PL"/>
        </w:rPr>
        <w:t xml:space="preserve">Tak szeroka delegacja, połączona z dotkliwą sankcją administracyjną, rodzi wątpliwości z perspektywy art. 2 i art. 92 ust. 1 Konstytucji RP. Regulacja nie może wymagać od przedsiębiorcy inwestycji i </w:t>
      </w:r>
      <w:r w:rsidRPr="000D3412">
        <w:rPr>
          <w:rFonts w:eastAsia="Calibri"/>
          <w:lang w:val="pl-PL"/>
        </w:rPr>
        <w:lastRenderedPageBreak/>
        <w:t>reorganizacji na podstawie norm, których zasadniczy kształt zostanie ustalony później w akcie wykonawczym.</w:t>
      </w:r>
    </w:p>
    <w:p w14:paraId="1657A35E" w14:textId="40A87075" w:rsidR="00140D91" w:rsidRPr="000D3412" w:rsidRDefault="00000000">
      <w:pPr>
        <w:pStyle w:val="Nagwek2"/>
        <w:jc w:val="left"/>
        <w:rPr>
          <w:lang w:val="pl-PL"/>
        </w:rPr>
      </w:pPr>
      <w:r w:rsidRPr="000D3412">
        <w:rPr>
          <w:rFonts w:ascii="Calibri" w:eastAsia="Calibri" w:hAnsi="Calibri"/>
          <w:lang w:val="pl-PL"/>
        </w:rPr>
        <w:t>Nadzór wymaga proporcjonalności i realnej ochrony przed nieodwracalną szkodą</w:t>
      </w:r>
    </w:p>
    <w:p w14:paraId="3B231142" w14:textId="77777777" w:rsidR="00140D91" w:rsidRPr="000D3412" w:rsidRDefault="00000000">
      <w:pPr>
        <w:rPr>
          <w:lang w:val="pl-PL"/>
        </w:rPr>
      </w:pPr>
      <w:r w:rsidRPr="000D3412">
        <w:rPr>
          <w:rFonts w:eastAsia="Calibri"/>
          <w:lang w:val="pl-PL"/>
        </w:rPr>
        <w:t>Gmina prowadząca własne placówki pozostaje zarazem organem nadzorującym podmioty niepubliczne działające na tym samym lokalnym rynku. Ustawa nie wzmacnia niezależności kontroli ani nie wprowadza szczególnych zabezpieczeń przed konfliktem ról. Organ może wyznaczyć termin usunięcia uchybień, zdecydować o wykreśleniu oraz o czasowym wyłączeniu możliwości ponownego wpisu, mimo że gospodarcze skutki decyzji powstają natychmiast.</w:t>
      </w:r>
    </w:p>
    <w:p w14:paraId="4B59EF16" w14:textId="77777777" w:rsidR="00140D91" w:rsidRPr="000D3412" w:rsidRDefault="00000000">
      <w:pPr>
        <w:rPr>
          <w:lang w:val="pl-PL"/>
        </w:rPr>
      </w:pPr>
      <w:r w:rsidRPr="000D3412">
        <w:rPr>
          <w:rFonts w:eastAsia="Calibri"/>
          <w:lang w:val="pl-PL"/>
        </w:rPr>
        <w:t>Samo prawo odwołania i skargi do sądu nie zawsze zapewnia skuteczną ochronę. Wykreślenie oznacza utratę przychodów, dzieci i personelu; nawet późniejsze uchylenie decyzji może nie pozwolić odtworzyć placówki. Ustawa powinna zapewniać gradację środków, minimalne terminy naprawcze przy uchybieniach niezagrażających życiu lub zdrowiu oraz mechanizm wstrzymania wykonania decyzji do czasu pilnego rozpoznania wniosku przez niezależny organ lub sąd.</w:t>
      </w:r>
    </w:p>
    <w:p w14:paraId="5435FE3A" w14:textId="18EF1B43" w:rsidR="00140D91" w:rsidRPr="000D3412" w:rsidRDefault="00000000">
      <w:pPr>
        <w:pStyle w:val="Nagwek2"/>
        <w:jc w:val="left"/>
        <w:rPr>
          <w:lang w:val="pl-PL"/>
        </w:rPr>
      </w:pPr>
      <w:r w:rsidRPr="000D3412">
        <w:rPr>
          <w:rFonts w:ascii="Calibri" w:eastAsia="Calibri" w:hAnsi="Calibri"/>
          <w:lang w:val="pl-PL"/>
        </w:rPr>
        <w:t>Obowiązki bez źródła finansowania ograniczą dostępność miejsc</w:t>
      </w:r>
    </w:p>
    <w:p w14:paraId="3666CBBD" w14:textId="77777777" w:rsidR="00140D91" w:rsidRPr="000D3412" w:rsidRDefault="00000000">
      <w:pPr>
        <w:rPr>
          <w:lang w:val="pl-PL"/>
        </w:rPr>
      </w:pPr>
      <w:r w:rsidRPr="000D3412">
        <w:rPr>
          <w:rFonts w:eastAsia="Calibri"/>
          <w:lang w:val="pl-PL"/>
        </w:rPr>
        <w:t>Nowe wymagania dotyczące szkoleń, zastępstw, organizacji pracy, żywienia, dokumentacji i infrastruktury tworzą koszty stałe niezależne od liczby dzieci. Jednocześnie podmioty niepubliczne działają przy ustawowych ograniczeniach opłat oraz bez systemowego mechanizmu automatycznej rekompensaty nowych kosztów. Szczególnie w małych placówkach i mniejszych miejscowościach margines pozwalający sfinansować kolejne obowiązki jest niewielki.</w:t>
      </w:r>
    </w:p>
    <w:p w14:paraId="20A2F53E" w14:textId="77777777" w:rsidR="00140D91" w:rsidRPr="000D3412" w:rsidRDefault="00000000">
      <w:pPr>
        <w:rPr>
          <w:lang w:val="pl-PL"/>
        </w:rPr>
      </w:pPr>
      <w:r w:rsidRPr="000D3412">
        <w:rPr>
          <w:rFonts w:eastAsia="Calibri"/>
          <w:lang w:val="pl-PL"/>
        </w:rPr>
        <w:t>Ocena skutków regulacji powinna pokazać koszt wdrożenia w przeliczeniu na miejsce, osobno dla placówek publicznych i niepublicznych, z uwzględnieniem najmu, finansowania inwestycji, wynagrodzeń i zastępstw. Bez takiego rachunku ustawodawca nie wie, czy ustawa podniesie jakość, czy wymusi podwyżki, redukcję zatrudnienia albo zamknięcie części placówek. Koszt ostatecznie poniesie rodzina lub podatnik, niezależnie od tego, w której pozycji budżetu zostanie ukryty.</w:t>
      </w:r>
    </w:p>
    <w:p w14:paraId="26A70E5D" w14:textId="27F59C41" w:rsidR="00140D91" w:rsidRPr="000D3412" w:rsidRDefault="00000000">
      <w:pPr>
        <w:pStyle w:val="Nagwek2"/>
        <w:jc w:val="left"/>
        <w:rPr>
          <w:lang w:val="pl-PL"/>
        </w:rPr>
      </w:pPr>
      <w:r w:rsidRPr="000D3412">
        <w:rPr>
          <w:rFonts w:ascii="Calibri" w:eastAsia="Calibri" w:hAnsi="Calibri"/>
          <w:lang w:val="pl-PL"/>
        </w:rPr>
        <w:t>Zlecenie gminne wymaga jednoznacznego podziału praw i odpowiedzialności</w:t>
      </w:r>
    </w:p>
    <w:p w14:paraId="71DEBA28" w14:textId="77777777" w:rsidR="00140D91" w:rsidRPr="000D3412" w:rsidRDefault="00000000">
      <w:pPr>
        <w:rPr>
          <w:lang w:val="pl-PL"/>
        </w:rPr>
      </w:pPr>
      <w:r w:rsidRPr="000D3412">
        <w:rPr>
          <w:rFonts w:eastAsia="Calibri"/>
          <w:lang w:val="pl-PL"/>
        </w:rPr>
        <w:t>Rozwiązanie, według którego placówka prowadzona przez prywatnego operatora na zlecenie gminy jest ujmowana jako placówka gminna, nie powinno funkcjonować bez jasnych zasad współpracy. Ustawa musi rozstrzygać co najmniej: kto jest podmiotem prowadzącym w znaczeniu materialnym, kto odpowiada za personel i bezpieczeństwo, kto ponosi ryzyko kosztowe, komu przysługują prawa do infrastruktury i danych oraz na jakich zasadach umowa może zostać zakończona.</w:t>
      </w:r>
    </w:p>
    <w:p w14:paraId="08988F77" w14:textId="77777777" w:rsidR="00140D91" w:rsidRPr="000D3412" w:rsidRDefault="00000000">
      <w:pPr>
        <w:rPr>
          <w:lang w:val="pl-PL"/>
        </w:rPr>
      </w:pPr>
      <w:r w:rsidRPr="000D3412">
        <w:rPr>
          <w:rFonts w:eastAsia="Calibri"/>
          <w:lang w:val="pl-PL"/>
        </w:rPr>
        <w:t>Niejasność w tym zakresie może prowadzić do sytuacji, w której operator faktycznie wykonuje zadanie i ponosi odpowiedzialność, podczas gdy gmina zachowuje decydujący wpływ i wykazuje placówkę jako własną. To ryzyko sporów, nierównego rozłożenia obowiązków oraz osłabienia ochrony inwestycji dokonanych przez podmiot niepubliczny.</w:t>
      </w:r>
    </w:p>
    <w:p w14:paraId="5FC47051" w14:textId="147824F6" w:rsidR="00140D91" w:rsidRPr="000D3412" w:rsidRDefault="00000000">
      <w:pPr>
        <w:pStyle w:val="Nagwek2"/>
        <w:jc w:val="left"/>
        <w:rPr>
          <w:lang w:val="pl-PL"/>
        </w:rPr>
      </w:pPr>
      <w:r w:rsidRPr="000D3412">
        <w:rPr>
          <w:rFonts w:ascii="Calibri" w:eastAsia="Calibri" w:hAnsi="Calibri"/>
          <w:lang w:val="pl-PL"/>
        </w:rPr>
        <w:lastRenderedPageBreak/>
        <w:t>Posiłki dostarczane przez rodziców wymagają pełnej regulacji sanitarnej</w:t>
      </w:r>
    </w:p>
    <w:p w14:paraId="0E15B416" w14:textId="77777777" w:rsidR="00140D91" w:rsidRPr="000D3412" w:rsidRDefault="00000000">
      <w:pPr>
        <w:rPr>
          <w:lang w:val="pl-PL"/>
        </w:rPr>
      </w:pPr>
      <w:r w:rsidRPr="000D3412">
        <w:rPr>
          <w:rFonts w:eastAsia="Calibri"/>
          <w:lang w:val="pl-PL"/>
        </w:rPr>
        <w:t>Dopuszczenie posiłków dostarczanych z zewnątrz dla dzieci wymagających diety może odpowiadać na realne potrzeby rodzin. Nie wolno jednak pozostawić placówki z nieokreśloną odpowiedzialnością za produkt, na którego przygotowanie i transport nie miała wpływu. Ustawa powinna być jednoznacznie skoordynowana z przepisami sanitarnymi oraz zasadami bezpieczeństwa żywności.</w:t>
      </w:r>
    </w:p>
    <w:p w14:paraId="71AA6F9B" w14:textId="77777777" w:rsidR="00140D91" w:rsidRPr="000D3412" w:rsidRDefault="00000000">
      <w:pPr>
        <w:rPr>
          <w:lang w:val="pl-PL"/>
        </w:rPr>
      </w:pPr>
      <w:r w:rsidRPr="000D3412">
        <w:rPr>
          <w:rFonts w:eastAsia="Calibri"/>
          <w:lang w:val="pl-PL"/>
        </w:rPr>
        <w:t>Należy określić minimalne wymagania dotyczące opakowania, temperatury, oznaczenia, transportu, odbioru, przechowywania, podgrzewania, podania, zapobiegania zanieczyszczeniom krzyżowym i dokumentowania czynności, a także rozdzielić odpowiedzialność rodzica i placówki. Bez tego słuszne ułatwienie może stać się źródłem ryzyka dla zdrowia dziecka i odpowiedzialności, której podmiot prowadzący nie jest w stanie kontrolować.</w:t>
      </w:r>
    </w:p>
    <w:p w14:paraId="32886F51" w14:textId="602E9F72" w:rsidR="00140D91" w:rsidRPr="000D3412" w:rsidRDefault="00000000">
      <w:pPr>
        <w:pStyle w:val="Nagwek2"/>
        <w:jc w:val="left"/>
        <w:rPr>
          <w:lang w:val="pl-PL"/>
        </w:rPr>
      </w:pPr>
      <w:r w:rsidRPr="000D3412">
        <w:rPr>
          <w:rFonts w:ascii="Calibri" w:eastAsia="Calibri" w:hAnsi="Calibri"/>
          <w:lang w:val="pl-PL"/>
        </w:rPr>
        <w:t>Rejestr elektroniczny musi realizować zasadę minimalizacji i jednokrotnego przekazywania danych</w:t>
      </w:r>
    </w:p>
    <w:p w14:paraId="37234062" w14:textId="77777777" w:rsidR="00140D91" w:rsidRPr="000D3412" w:rsidRDefault="00000000">
      <w:pPr>
        <w:rPr>
          <w:lang w:val="pl-PL"/>
        </w:rPr>
      </w:pPr>
      <w:r w:rsidRPr="000D3412">
        <w:rPr>
          <w:rFonts w:eastAsia="Calibri"/>
          <w:lang w:val="pl-PL"/>
        </w:rPr>
        <w:t>Cyfryzacja może ograniczyć biurokrację tylko wtedy, gdy dane przekazane raz nie są ponownie wymagane przez kolejne organy. Zakres rejestru powinien zostać ograniczony do informacji niezbędnych dla konkretnego celu publicznego, z jednoznacznym określeniem dostępu, retencji, odpowiedzialności za poprawność i sposobu sprostowania danych.</w:t>
      </w:r>
    </w:p>
    <w:p w14:paraId="5E69ADCA" w14:textId="77777777" w:rsidR="00140D91" w:rsidRPr="000D3412" w:rsidRDefault="00000000">
      <w:pPr>
        <w:rPr>
          <w:lang w:val="pl-PL"/>
        </w:rPr>
      </w:pPr>
      <w:r w:rsidRPr="000D3412">
        <w:rPr>
          <w:rFonts w:eastAsia="Calibri"/>
          <w:lang w:val="pl-PL"/>
        </w:rPr>
        <w:t>Szczególne wątpliwości budzi gromadzenie dokładnych wynagrodzeń pracowników podmiotów prywatnych, także niekorzystających z dotacji. Jeżeli celem jest analiza rynku pracy, należy wykazać, dlaczego nie wystarczą dane zagregowane lub przedziały. Obowiązek przekazywania danych powinien pozostawać zgodny z art. 47 i art. 51 ust. 2 Konstytucji RP, zasadą proporcjonalności oraz minimalizacji danych wynikającą z RODO.</w:t>
      </w:r>
    </w:p>
    <w:p w14:paraId="173D1572" w14:textId="77A7CD73" w:rsidR="00140D91" w:rsidRPr="000D3412" w:rsidRDefault="00000000">
      <w:pPr>
        <w:pStyle w:val="Nagwek2"/>
        <w:jc w:val="left"/>
        <w:rPr>
          <w:lang w:val="pl-PL"/>
        </w:rPr>
      </w:pPr>
      <w:r w:rsidRPr="000D3412">
        <w:rPr>
          <w:rFonts w:ascii="Calibri" w:eastAsia="Calibri" w:hAnsi="Calibri"/>
          <w:lang w:val="pl-PL"/>
        </w:rPr>
        <w:t>Państwo powinno chronić inwestycje i interesy w toku</w:t>
      </w:r>
    </w:p>
    <w:p w14:paraId="1D6C81F2" w14:textId="77777777" w:rsidR="00140D91" w:rsidRPr="000D3412" w:rsidRDefault="00000000">
      <w:pPr>
        <w:rPr>
          <w:lang w:val="pl-PL"/>
        </w:rPr>
      </w:pPr>
      <w:r w:rsidRPr="000D3412">
        <w:rPr>
          <w:rFonts w:eastAsia="Calibri"/>
          <w:lang w:val="pl-PL"/>
        </w:rPr>
        <w:t>Placówki powstawały na podstawie obowiązujących wymagań, często przy wykorzystaniu kredytów, wieloletnich umów najmu i programów publicznych zachęcających do tworzenia miejsc. Zmiana warunków technicznych, organizacyjnych lub kwalifikacyjnych bez realnego okresu przejściowego obciąża inwestycje podjęte w zaufaniu do państwa.</w:t>
      </w:r>
    </w:p>
    <w:p w14:paraId="66C1D7FC" w14:textId="77777777" w:rsidR="00140D91" w:rsidRPr="000D3412" w:rsidRDefault="00000000">
      <w:pPr>
        <w:rPr>
          <w:lang w:val="pl-PL"/>
        </w:rPr>
      </w:pPr>
      <w:r w:rsidRPr="000D3412">
        <w:rPr>
          <w:rFonts w:eastAsia="Calibri"/>
          <w:lang w:val="pl-PL"/>
        </w:rPr>
        <w:t>Obowiązki dotyczące między innymi dostępu do przestrzeni zewnętrznej, nowych standardów i kwalifikacji powinny uwzględniać obiekty już funkcjonujące, ograniczenia urbanistyczne oraz prawa nabyte. Tam, gdzie dostosowanie jest obiektywnie niemożliwe albo wymaga znacznych nakładów, konieczne są jasne równoważne sposoby spełnienia celu, wsparcie finansowe i okres przejściowy liczony od opublikowania kompletnych przepisów wykonawczych.</w:t>
      </w:r>
    </w:p>
    <w:p w14:paraId="3587CBCB" w14:textId="7B81AA56" w:rsidR="00140D91" w:rsidRPr="000D3412" w:rsidRDefault="00000000">
      <w:pPr>
        <w:pStyle w:val="Nagwek2"/>
        <w:jc w:val="left"/>
        <w:rPr>
          <w:lang w:val="pl-PL"/>
        </w:rPr>
      </w:pPr>
      <w:r w:rsidRPr="000D3412">
        <w:rPr>
          <w:rFonts w:ascii="Calibri" w:eastAsia="Calibri" w:hAnsi="Calibri"/>
          <w:lang w:val="pl-PL"/>
        </w:rPr>
        <w:t>Weto może służyć poprawieniu, a nie porzuceniu reformy</w:t>
      </w:r>
    </w:p>
    <w:p w14:paraId="35A1FE24" w14:textId="77777777" w:rsidR="00140D91" w:rsidRPr="000D3412" w:rsidRDefault="00000000">
      <w:pPr>
        <w:rPr>
          <w:lang w:val="pl-PL"/>
        </w:rPr>
      </w:pPr>
      <w:r w:rsidRPr="000D3412">
        <w:rPr>
          <w:rFonts w:eastAsia="Calibri"/>
          <w:lang w:val="pl-PL"/>
        </w:rPr>
        <w:t xml:space="preserve">W uzasadnieniach swoich decyzji wskazywał Pan na znaczenie konkretnych skutków regulacji dla obywateli i przedsiębiorców, kosztów wdrożenia, pewności prawa, zaufania do państwa oraz właściwego rozłożenia obowiązków w czasie. Wskazywał Pan również, że odmowa podpisania może </w:t>
      </w:r>
      <w:r w:rsidRPr="000D3412">
        <w:rPr>
          <w:rFonts w:eastAsia="Calibri"/>
          <w:lang w:val="pl-PL"/>
        </w:rPr>
        <w:lastRenderedPageBreak/>
        <w:t>otworzyć drogę do rozwiązania lepszego i bardziej proporcjonalnego. Taki charakter powinno mieć weto w tej sprawie.</w:t>
      </w:r>
    </w:p>
    <w:p w14:paraId="229F8B4A" w14:textId="77777777" w:rsidR="00140D91" w:rsidRPr="000D3412" w:rsidRDefault="00000000">
      <w:pPr>
        <w:rPr>
          <w:lang w:val="pl-PL"/>
        </w:rPr>
      </w:pPr>
      <w:r w:rsidRPr="000D3412">
        <w:rPr>
          <w:rFonts w:eastAsia="Calibri"/>
          <w:lang w:val="pl-PL"/>
        </w:rPr>
        <w:t>Wnoszę, aby ponowne procedowanie ustawy zostało poprzedzone spełnieniem następujących warunków:</w:t>
      </w:r>
    </w:p>
    <w:p w14:paraId="5DAF520C" w14:textId="77777777" w:rsidR="00140D91" w:rsidRPr="000D3412" w:rsidRDefault="00000000">
      <w:pPr>
        <w:pStyle w:val="PetitionList"/>
        <w:numPr>
          <w:ilvl w:val="0"/>
          <w:numId w:val="1"/>
        </w:numPr>
        <w:rPr>
          <w:lang w:val="pl-PL"/>
        </w:rPr>
      </w:pPr>
      <w:r w:rsidRPr="000D3412">
        <w:rPr>
          <w:rFonts w:eastAsia="Calibri"/>
          <w:color w:val="000000"/>
          <w:lang w:val="pl-PL"/>
        </w:rPr>
        <w:t>pełna, wariantowa ocena skutków regulacji, obejmująca koszt na jedno miejsce, wpływ na ceny, zatrudnienie, liczbę placówek i terytorialną dostępność opieki;</w:t>
      </w:r>
    </w:p>
    <w:p w14:paraId="29EB9118" w14:textId="77777777" w:rsidR="00140D91" w:rsidRPr="000D3412" w:rsidRDefault="00000000">
      <w:pPr>
        <w:pStyle w:val="PetitionList"/>
        <w:numPr>
          <w:ilvl w:val="0"/>
          <w:numId w:val="1"/>
        </w:numPr>
        <w:rPr>
          <w:lang w:val="pl-PL"/>
        </w:rPr>
      </w:pPr>
      <w:r w:rsidRPr="000D3412">
        <w:rPr>
          <w:rFonts w:eastAsia="Calibri"/>
          <w:color w:val="000000"/>
          <w:lang w:val="pl-PL"/>
        </w:rPr>
        <w:t>przeniesienie zasadniczych obowiązków, standardów i przesłanek sankcji do ustawy oraz precyzyjne ograniczenie delegacji ustawowych;</w:t>
      </w:r>
    </w:p>
    <w:p w14:paraId="4D2A0D6D" w14:textId="77777777" w:rsidR="00140D91" w:rsidRPr="000D3412" w:rsidRDefault="00000000">
      <w:pPr>
        <w:pStyle w:val="PetitionList"/>
        <w:numPr>
          <w:ilvl w:val="0"/>
          <w:numId w:val="1"/>
        </w:numPr>
        <w:rPr>
          <w:lang w:val="pl-PL"/>
        </w:rPr>
      </w:pPr>
      <w:r w:rsidRPr="000D3412">
        <w:rPr>
          <w:rFonts w:eastAsia="Calibri"/>
          <w:color w:val="000000"/>
          <w:lang w:val="pl-PL"/>
        </w:rPr>
        <w:t>gradacja środków nadzorczych, minimalne terminy naprawcze i skuteczna ochrona tymczasowa przed nieodwracalnymi skutkami wykreślenia;</w:t>
      </w:r>
    </w:p>
    <w:p w14:paraId="6151E1EB" w14:textId="77777777" w:rsidR="00140D91" w:rsidRPr="000D3412" w:rsidRDefault="00000000">
      <w:pPr>
        <w:pStyle w:val="PetitionList"/>
        <w:numPr>
          <w:ilvl w:val="0"/>
          <w:numId w:val="1"/>
        </w:numPr>
        <w:rPr>
          <w:lang w:val="pl-PL"/>
        </w:rPr>
      </w:pPr>
      <w:r w:rsidRPr="000D3412">
        <w:rPr>
          <w:rFonts w:eastAsia="Calibri"/>
          <w:color w:val="000000"/>
          <w:lang w:val="pl-PL"/>
        </w:rPr>
        <w:t>jednoznaczny podział praw, finansowania, ryzyka i odpowiedzialności między gminą a operatorem placówki prowadzonej na zlecenie;</w:t>
      </w:r>
    </w:p>
    <w:p w14:paraId="1D54CD9D" w14:textId="77777777" w:rsidR="00140D91" w:rsidRPr="000D3412" w:rsidRDefault="00000000">
      <w:pPr>
        <w:pStyle w:val="PetitionList"/>
        <w:numPr>
          <w:ilvl w:val="0"/>
          <w:numId w:val="1"/>
        </w:numPr>
        <w:rPr>
          <w:lang w:val="pl-PL"/>
        </w:rPr>
      </w:pPr>
      <w:r w:rsidRPr="000D3412">
        <w:rPr>
          <w:rFonts w:eastAsia="Calibri"/>
          <w:color w:val="000000"/>
          <w:lang w:val="pl-PL"/>
        </w:rPr>
        <w:t>kompletne zasady sanitarne i rozdział odpowiedzialności za posiłki dostarczane przez rodziców;</w:t>
      </w:r>
    </w:p>
    <w:p w14:paraId="5960C053" w14:textId="77777777" w:rsidR="00140D91" w:rsidRPr="000D3412" w:rsidRDefault="00000000">
      <w:pPr>
        <w:pStyle w:val="PetitionList"/>
        <w:numPr>
          <w:ilvl w:val="0"/>
          <w:numId w:val="1"/>
        </w:numPr>
        <w:rPr>
          <w:lang w:val="pl-PL"/>
        </w:rPr>
      </w:pPr>
      <w:r w:rsidRPr="000D3412">
        <w:rPr>
          <w:rFonts w:eastAsia="Calibri"/>
          <w:color w:val="000000"/>
          <w:lang w:val="pl-PL"/>
        </w:rPr>
        <w:t>ograniczenie rejestru do danych niezbędnych, pierwszeństwo danych zagregowanych oraz rzeczywista zasada jednokrotnego przekazywania informacji;</w:t>
      </w:r>
    </w:p>
    <w:p w14:paraId="6FBF0425" w14:textId="77777777" w:rsidR="00140D91" w:rsidRPr="000D3412" w:rsidRDefault="00000000">
      <w:pPr>
        <w:pStyle w:val="PetitionList"/>
        <w:numPr>
          <w:ilvl w:val="0"/>
          <w:numId w:val="1"/>
        </w:numPr>
        <w:rPr>
          <w:lang w:val="pl-PL"/>
        </w:rPr>
      </w:pPr>
      <w:r w:rsidRPr="000D3412">
        <w:rPr>
          <w:rFonts w:eastAsia="Calibri"/>
          <w:color w:val="000000"/>
          <w:lang w:val="pl-PL"/>
        </w:rPr>
        <w:t>finansowanie nowych obowiązków albo mechanizm ich kompensowania, w tym kosztu szkoleń, zastępstw i dostosowania infrastruktury;</w:t>
      </w:r>
    </w:p>
    <w:p w14:paraId="0E0EF109" w14:textId="77777777" w:rsidR="00140D91" w:rsidRPr="000D3412" w:rsidRDefault="00000000">
      <w:pPr>
        <w:pStyle w:val="PetitionList"/>
        <w:numPr>
          <w:ilvl w:val="0"/>
          <w:numId w:val="1"/>
        </w:numPr>
        <w:rPr>
          <w:lang w:val="pl-PL"/>
        </w:rPr>
      </w:pPr>
      <w:r w:rsidRPr="000D3412">
        <w:rPr>
          <w:rFonts w:eastAsia="Calibri"/>
          <w:color w:val="000000"/>
          <w:lang w:val="pl-PL"/>
        </w:rPr>
        <w:t>ochrona istniejących placówek, inwestycji i kwalifikacji przez racjonalne okresy przejściowe liczone od ogłoszenia kompletu przepisów;</w:t>
      </w:r>
    </w:p>
    <w:p w14:paraId="6E41A7D4" w14:textId="77777777" w:rsidR="00140D91" w:rsidRPr="000D3412" w:rsidRDefault="00000000">
      <w:pPr>
        <w:pStyle w:val="PetitionList"/>
        <w:numPr>
          <w:ilvl w:val="0"/>
          <w:numId w:val="1"/>
        </w:numPr>
        <w:rPr>
          <w:lang w:val="pl-PL"/>
        </w:rPr>
      </w:pPr>
      <w:r w:rsidRPr="000D3412">
        <w:rPr>
          <w:rFonts w:eastAsia="Calibri"/>
          <w:color w:val="000000"/>
          <w:lang w:val="pl-PL"/>
        </w:rPr>
        <w:t>obowiązkowy przegląd skutków ustawy po 12 miesiącach, z udziałem przedstawicieli rodziców, pracowników, podmiotów niepublicznych i samorządów.</w:t>
      </w:r>
    </w:p>
    <w:p w14:paraId="67D06DBE" w14:textId="77777777" w:rsidR="00140D91" w:rsidRPr="000D3412" w:rsidRDefault="00000000">
      <w:pPr>
        <w:pStyle w:val="Nagwek1"/>
        <w:jc w:val="left"/>
        <w:rPr>
          <w:lang w:val="pl-PL"/>
        </w:rPr>
      </w:pPr>
      <w:r w:rsidRPr="000D3412">
        <w:rPr>
          <w:rFonts w:ascii="Calibri" w:eastAsia="Calibri" w:hAnsi="Calibri"/>
          <w:lang w:val="pl-PL"/>
        </w:rPr>
        <w:t>Wniosek końcowy</w:t>
      </w:r>
    </w:p>
    <w:p w14:paraId="420F0A6F" w14:textId="77777777" w:rsidR="00140D91" w:rsidRPr="000D3412" w:rsidRDefault="00000000">
      <w:pPr>
        <w:rPr>
          <w:lang w:val="pl-PL"/>
        </w:rPr>
      </w:pPr>
      <w:r w:rsidRPr="000D3412">
        <w:rPr>
          <w:rFonts w:eastAsia="Calibri"/>
          <w:lang w:val="pl-PL"/>
        </w:rPr>
        <w:t>Panie Prezydencie, podmiot prowadzący nie uchyla się od odpowiedzialności. Domaga się prawa, które pozwala tę odpowiedzialność wykonać: jasnego przed wejściem w życie, proporcjonalnego w nadzorze, sfinansowanego w skutkach i respektującego inwestycje dokonane w zaufaniu do państwa.</w:t>
      </w:r>
    </w:p>
    <w:p w14:paraId="56101A31" w14:textId="77777777" w:rsidR="00140D91" w:rsidRPr="000D3412" w:rsidRDefault="00000000">
      <w:pPr>
        <w:rPr>
          <w:lang w:val="pl-PL"/>
        </w:rPr>
      </w:pPr>
      <w:r w:rsidRPr="000D3412">
        <w:rPr>
          <w:rFonts w:eastAsia="Calibri"/>
          <w:lang w:val="pl-PL"/>
        </w:rPr>
        <w:t>Nie wnoszę o rezygnację z wysokich standardów. Wnoszę o odmowę podpisania tej ustawy i przygotowanie regulacji lepszej - takiej, która podnosi jakość bez ograniczania liczby miejsc, nie przerzuca niepoliczonych kosztów na rodziny i nie uzależnia dalszego istnienia placówki od norm niedookreślonych lub niemożliwych do wykonania. Dlatego wnoszę jak na wstępie.</w:t>
      </w:r>
    </w:p>
    <w:p w14:paraId="42C9A9C9" w14:textId="77777777" w:rsidR="00140D91" w:rsidRPr="000D3412" w:rsidRDefault="00000000">
      <w:pPr>
        <w:keepLines/>
        <w:spacing w:before="160" w:after="0"/>
        <w:jc w:val="right"/>
        <w:rPr>
          <w:lang w:val="pl-PL"/>
        </w:rPr>
      </w:pPr>
      <w:r w:rsidRPr="000D3412">
        <w:rPr>
          <w:rFonts w:eastAsia="Calibri"/>
          <w:i/>
          <w:lang w:val="pl-PL"/>
        </w:rPr>
        <w:t>Z poważaniem</w:t>
      </w:r>
      <w:r w:rsidRPr="000D3412">
        <w:rPr>
          <w:rFonts w:eastAsia="Calibri"/>
          <w:i/>
          <w:lang w:val="pl-PL"/>
        </w:rPr>
        <w:br/>
      </w:r>
      <w:r w:rsidRPr="000D3412">
        <w:rPr>
          <w:rFonts w:eastAsia="Calibri"/>
          <w:lang w:val="pl-PL"/>
        </w:rPr>
        <w:t>............................................................</w:t>
      </w:r>
      <w:r w:rsidRPr="000D3412">
        <w:rPr>
          <w:rFonts w:eastAsia="Calibri"/>
          <w:lang w:val="pl-PL"/>
        </w:rPr>
        <w:br/>
      </w:r>
      <w:r w:rsidRPr="000D3412">
        <w:rPr>
          <w:rFonts w:eastAsia="Calibri"/>
          <w:color w:val="5F6368"/>
          <w:sz w:val="18"/>
          <w:lang w:val="pl-PL"/>
        </w:rPr>
        <w:t>czytelny podpis / podpis osoby uprawnionej do reprezentacji</w:t>
      </w:r>
    </w:p>
    <w:p w14:paraId="3F8D8172" w14:textId="3275291A" w:rsidR="00140D91" w:rsidRPr="000D3412" w:rsidRDefault="00140D91">
      <w:pPr>
        <w:rPr>
          <w:rFonts w:eastAsia="Calibri"/>
          <w:lang w:val="pl-PL"/>
        </w:rPr>
      </w:pPr>
    </w:p>
    <w:sectPr w:rsidR="00140D91" w:rsidRPr="000D3412" w:rsidSect="00034616">
      <w:footerReference w:type="default" r:id="rId8"/>
      <w:pgSz w:w="11906" w:h="16838"/>
      <w:pgMar w:top="1191" w:right="1304" w:bottom="1134" w:left="1304"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C4C8" w14:textId="77777777" w:rsidR="00200A07" w:rsidRDefault="00200A07">
      <w:pPr>
        <w:spacing w:after="0" w:line="240" w:lineRule="auto"/>
      </w:pPr>
      <w:r>
        <w:separator/>
      </w:r>
    </w:p>
  </w:endnote>
  <w:endnote w:type="continuationSeparator" w:id="0">
    <w:p w14:paraId="74457CE3" w14:textId="77777777" w:rsidR="00200A07" w:rsidRDefault="0020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72CC" w14:textId="77777777" w:rsidR="00140D91" w:rsidRDefault="00000000">
    <w:pPr>
      <w:pStyle w:val="Stopka"/>
      <w:jc w:val="right"/>
    </w:pPr>
    <w:proofErr w:type="spellStart"/>
    <w:r>
      <w:rPr>
        <w:rFonts w:eastAsia="Calibri"/>
        <w:color w:val="5F6368"/>
        <w:sz w:val="18"/>
      </w:rPr>
      <w:t>strona</w:t>
    </w:r>
    <w:proofErr w:type="spellEnd"/>
    <w:r>
      <w:rPr>
        <w:rFonts w:eastAsia="Calibri"/>
        <w:color w:val="5F6368"/>
        <w:sz w:val="18"/>
      </w:rPr>
      <w:t xml:space="preserve"> </w:t>
    </w:r>
    <w:r>
      <w:rPr>
        <w:rFonts w:eastAsia="Calibri"/>
        <w:color w:val="5F6368"/>
        <w:sz w:val="18"/>
      </w:rPr>
      <w:fldChar w:fldCharType="begin"/>
    </w:r>
    <w:r>
      <w:rPr>
        <w:rFonts w:eastAsia="Calibri"/>
        <w:color w:val="5F6368"/>
        <w:sz w:val="18"/>
      </w:rPr>
      <w:instrText>PAGE</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r>
      <w:rPr>
        <w:rFonts w:eastAsia="Calibri"/>
        <w:color w:val="5F6368"/>
        <w:sz w:val="18"/>
      </w:rPr>
      <w:t xml:space="preserve"> z </w:t>
    </w:r>
    <w:r>
      <w:rPr>
        <w:rFonts w:eastAsia="Calibri"/>
        <w:color w:val="5F6368"/>
        <w:sz w:val="18"/>
      </w:rPr>
      <w:fldChar w:fldCharType="begin"/>
    </w:r>
    <w:r>
      <w:rPr>
        <w:rFonts w:eastAsia="Calibri"/>
        <w:color w:val="5F6368"/>
        <w:sz w:val="18"/>
      </w:rPr>
      <w:instrText>NUMPAGES</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B529" w14:textId="77777777" w:rsidR="00200A07" w:rsidRDefault="00200A07">
      <w:pPr>
        <w:spacing w:after="0" w:line="240" w:lineRule="auto"/>
      </w:pPr>
      <w:r>
        <w:separator/>
      </w:r>
    </w:p>
  </w:footnote>
  <w:footnote w:type="continuationSeparator" w:id="0">
    <w:p w14:paraId="750BF006" w14:textId="77777777" w:rsidR="00200A07" w:rsidRDefault="00200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7D53050"/>
    <w:multiLevelType w:val="singleLevel"/>
    <w:tmpl w:val="69102BF6"/>
    <w:lvl w:ilvl="0">
      <w:start w:val="1"/>
      <w:numFmt w:val="decimal"/>
      <w:lvlText w:val="%1."/>
      <w:lvlJc w:val="left"/>
      <w:pPr>
        <w:tabs>
          <w:tab w:val="num" w:pos="540"/>
        </w:tabs>
        <w:spacing w:after="80" w:line="290" w:lineRule="auto"/>
        <w:ind w:left="540" w:hanging="280"/>
      </w:pPr>
    </w:lvl>
  </w:abstractNum>
  <w:abstractNum w:abstractNumId="10" w15:restartNumberingAfterBreak="0">
    <w:nsid w:val="5629386C"/>
    <w:multiLevelType w:val="singleLevel"/>
    <w:tmpl w:val="A1F845AC"/>
    <w:lvl w:ilvl="0">
      <w:start w:val="1"/>
      <w:numFmt w:val="decimal"/>
      <w:pStyle w:val="Listapunktowana"/>
      <w:lvlText w:val="%1."/>
      <w:lvlJc w:val="left"/>
      <w:pPr>
        <w:tabs>
          <w:tab w:val="num" w:pos="540"/>
        </w:tabs>
        <w:spacing w:after="80" w:line="290" w:lineRule="auto"/>
        <w:ind w:left="540" w:hanging="280"/>
      </w:pPr>
    </w:lvl>
  </w:abstractNum>
  <w:num w:numId="1" w16cid:durableId="2027750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3412"/>
    <w:rsid w:val="00140D91"/>
    <w:rsid w:val="0015074B"/>
    <w:rsid w:val="00200A07"/>
    <w:rsid w:val="0029639D"/>
    <w:rsid w:val="00326F90"/>
    <w:rsid w:val="0038419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D70FE"/>
  <w14:defaultImageDpi w14:val="300"/>
  <w15:docId w15:val="{76C686C3-6AA6-4BDE-B40A-9A924230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60" w:line="320" w:lineRule="auto"/>
      <w:jc w:val="both"/>
    </w:pPr>
    <w:rPr>
      <w:rFonts w:ascii="Calibri" w:hAnsi="Calibri"/>
      <w:color w:val="000000"/>
    </w:rPr>
  </w:style>
  <w:style w:type="paragraph" w:styleId="Nagwek1">
    <w:name w:val="heading 1"/>
    <w:basedOn w:val="Normalny"/>
    <w:next w:val="Normalny"/>
    <w:link w:val="Nagwek1Znak"/>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Nagwek2">
    <w:name w:val="heading 2"/>
    <w:basedOn w:val="Normalny"/>
    <w:next w:val="Normalny"/>
    <w:link w:val="Nagwek2Znak"/>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titionList">
    <w:name w:val="Petition List"/>
    <w:pPr>
      <w:spacing w:after="80" w:line="290" w:lineRule="auto"/>
    </w:pPr>
    <w:rPr>
      <w:rFonts w:ascii="Calibri" w:hAnsi="Calibri"/>
    </w:rPr>
  </w:style>
  <w:style w:type="paragraph" w:customStyle="1" w:styleId="Instruction">
    <w:name w:val="Instruction"/>
    <w:pPr>
      <w:spacing w:before="100" w:after="160" w:line="264" w:lineRule="auto"/>
      <w:ind w:left="198" w:right="198"/>
    </w:pPr>
    <w:rPr>
      <w:rFonts w:ascii="Calibri" w:hAnsi="Calibri"/>
      <w:color w:val="5F636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1498</Words>
  <Characters>8992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petycji właściciela placówki do Prezydenta RP - ustawa żłobkowa</dc:title>
  <dc:subject>Petycja o odmowę podpisania ustawy z dnia 17 lipca 2026 r.</dc:subject>
  <dc:creator>Izba Gospodarcza Branży Wczesnodziecięcej</dc:creator>
  <cp:keywords>petycja, właściciel żłobka, podmiot prowadzący, przedsiębiorca, weto, UD181, druk 2698</cp:keywords>
  <dc:description>generated by python-docx</dc:description>
  <cp:lastModifiedBy>Grzegorz Jasiński</cp:lastModifiedBy>
  <cp:revision>2</cp:revision>
  <dcterms:created xsi:type="dcterms:W3CDTF">2013-12-23T23:15:00Z</dcterms:created>
  <dcterms:modified xsi:type="dcterms:W3CDTF">2026-08-07T16:59:00Z</dcterms:modified>
  <cp:category/>
</cp:coreProperties>
</file>