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898EA" w14:textId="5CDE4A40" w:rsidR="00344CA5" w:rsidRDefault="00344CA5" w:rsidP="009A5B7B">
      <w:pPr>
        <w:pStyle w:val="Instruction"/>
        <w:pBdr>
          <w:left w:val="single" w:sz="18" w:space="6" w:color="2E74B5"/>
        </w:pBdr>
        <w:shd w:val="clear" w:color="auto" w:fill="F4F6F9"/>
        <w:ind w:left="0"/>
      </w:pPr>
    </w:p>
    <w:tbl>
      <w:tblPr>
        <w:tblStyle w:val="Tabela-Siatka"/>
        <w:tblW w:w="9360" w:type="dxa"/>
        <w:tblInd w:w="120" w:type="dxa"/>
        <w:tblLayout w:type="fixed"/>
        <w:tblLook w:val="04A0" w:firstRow="1" w:lastRow="0" w:firstColumn="1" w:lastColumn="0" w:noHBand="0" w:noVBand="1"/>
      </w:tblPr>
      <w:tblGrid>
        <w:gridCol w:w="2300"/>
        <w:gridCol w:w="7060"/>
      </w:tblGrid>
      <w:tr w:rsidR="00344CA5" w14:paraId="35830141" w14:textId="77777777">
        <w:tc>
          <w:tcPr>
            <w:tcW w:w="2300" w:type="dxa"/>
            <w:tcMar>
              <w:top w:w="80" w:type="dxa"/>
              <w:left w:w="120" w:type="dxa"/>
              <w:bottom w:w="80" w:type="dxa"/>
              <w:right w:w="120" w:type="dxa"/>
            </w:tcMar>
            <w:vAlign w:val="center"/>
          </w:tcPr>
          <w:p w14:paraId="40DF06C0" w14:textId="77777777" w:rsidR="00344CA5" w:rsidRDefault="00000000">
            <w:pPr>
              <w:spacing w:after="0"/>
            </w:pPr>
            <w:r>
              <w:rPr>
                <w:rFonts w:eastAsia="Calibri"/>
                <w:b/>
                <w:color w:val="1F4D78"/>
                <w:sz w:val="19"/>
              </w:rPr>
              <w:t>Miejscowość i data</w:t>
            </w:r>
          </w:p>
        </w:tc>
        <w:tc>
          <w:tcPr>
            <w:tcW w:w="7060" w:type="dxa"/>
            <w:tcMar>
              <w:top w:w="80" w:type="dxa"/>
              <w:left w:w="120" w:type="dxa"/>
              <w:bottom w:w="80" w:type="dxa"/>
              <w:right w:w="120" w:type="dxa"/>
            </w:tcMar>
            <w:vAlign w:val="center"/>
          </w:tcPr>
          <w:p w14:paraId="4712C100" w14:textId="77777777" w:rsidR="00344CA5" w:rsidRDefault="00000000">
            <w:pPr>
              <w:spacing w:after="0"/>
            </w:pPr>
            <w:r>
              <w:rPr>
                <w:rFonts w:eastAsia="Calibri"/>
                <w:color w:val="5F6368"/>
                <w:sz w:val="20"/>
              </w:rPr>
              <w:t>[............................................................]</w:t>
            </w:r>
          </w:p>
        </w:tc>
      </w:tr>
      <w:tr w:rsidR="00344CA5" w14:paraId="043891FD" w14:textId="77777777">
        <w:tc>
          <w:tcPr>
            <w:tcW w:w="2300" w:type="dxa"/>
            <w:tcMar>
              <w:top w:w="80" w:type="dxa"/>
              <w:left w:w="120" w:type="dxa"/>
              <w:bottom w:w="80" w:type="dxa"/>
              <w:right w:w="120" w:type="dxa"/>
            </w:tcMar>
            <w:vAlign w:val="center"/>
          </w:tcPr>
          <w:p w14:paraId="7DD3F5CC" w14:textId="77777777" w:rsidR="00344CA5" w:rsidRDefault="00000000">
            <w:pPr>
              <w:spacing w:after="0"/>
            </w:pPr>
            <w:r>
              <w:rPr>
                <w:rFonts w:eastAsia="Calibri"/>
                <w:b/>
                <w:color w:val="1F4D78"/>
                <w:sz w:val="19"/>
              </w:rPr>
              <w:t>Imię i nazwisko</w:t>
            </w:r>
          </w:p>
        </w:tc>
        <w:tc>
          <w:tcPr>
            <w:tcW w:w="7060" w:type="dxa"/>
            <w:tcMar>
              <w:top w:w="80" w:type="dxa"/>
              <w:left w:w="120" w:type="dxa"/>
              <w:bottom w:w="80" w:type="dxa"/>
              <w:right w:w="120" w:type="dxa"/>
            </w:tcMar>
            <w:vAlign w:val="center"/>
          </w:tcPr>
          <w:p w14:paraId="4789957C" w14:textId="77777777" w:rsidR="00344CA5" w:rsidRDefault="00000000">
            <w:pPr>
              <w:spacing w:after="0"/>
            </w:pPr>
            <w:r>
              <w:rPr>
                <w:rFonts w:eastAsia="Calibri"/>
                <w:color w:val="5F6368"/>
                <w:sz w:val="20"/>
              </w:rPr>
              <w:t>[............................................................]</w:t>
            </w:r>
          </w:p>
        </w:tc>
      </w:tr>
      <w:tr w:rsidR="00344CA5" w14:paraId="342328B6" w14:textId="77777777">
        <w:tc>
          <w:tcPr>
            <w:tcW w:w="2300" w:type="dxa"/>
            <w:tcMar>
              <w:top w:w="80" w:type="dxa"/>
              <w:left w:w="120" w:type="dxa"/>
              <w:bottom w:w="80" w:type="dxa"/>
              <w:right w:w="120" w:type="dxa"/>
            </w:tcMar>
            <w:vAlign w:val="center"/>
          </w:tcPr>
          <w:p w14:paraId="09454585" w14:textId="77777777" w:rsidR="00344CA5" w:rsidRDefault="00000000">
            <w:pPr>
              <w:spacing w:after="0"/>
            </w:pPr>
            <w:r>
              <w:rPr>
                <w:rFonts w:eastAsia="Calibri"/>
                <w:b/>
                <w:color w:val="1F4D78"/>
                <w:sz w:val="19"/>
              </w:rPr>
              <w:t>Adres zamieszkania</w:t>
            </w:r>
          </w:p>
        </w:tc>
        <w:tc>
          <w:tcPr>
            <w:tcW w:w="7060" w:type="dxa"/>
            <w:tcMar>
              <w:top w:w="80" w:type="dxa"/>
              <w:left w:w="120" w:type="dxa"/>
              <w:bottom w:w="80" w:type="dxa"/>
              <w:right w:w="120" w:type="dxa"/>
            </w:tcMar>
            <w:vAlign w:val="center"/>
          </w:tcPr>
          <w:p w14:paraId="4188B20B" w14:textId="77777777" w:rsidR="00344CA5" w:rsidRDefault="00000000">
            <w:pPr>
              <w:spacing w:after="0"/>
            </w:pPr>
            <w:r>
              <w:rPr>
                <w:rFonts w:eastAsia="Calibri"/>
                <w:color w:val="5F6368"/>
                <w:sz w:val="20"/>
              </w:rPr>
              <w:t>[............................................................]</w:t>
            </w:r>
          </w:p>
        </w:tc>
      </w:tr>
      <w:tr w:rsidR="00344CA5" w14:paraId="257589BE" w14:textId="77777777">
        <w:tc>
          <w:tcPr>
            <w:tcW w:w="2300" w:type="dxa"/>
            <w:tcMar>
              <w:top w:w="80" w:type="dxa"/>
              <w:left w:w="120" w:type="dxa"/>
              <w:bottom w:w="80" w:type="dxa"/>
              <w:right w:w="120" w:type="dxa"/>
            </w:tcMar>
            <w:vAlign w:val="center"/>
          </w:tcPr>
          <w:p w14:paraId="43DDAA5B" w14:textId="77777777" w:rsidR="00344CA5" w:rsidRDefault="00000000">
            <w:pPr>
              <w:spacing w:after="0"/>
            </w:pPr>
            <w:r>
              <w:rPr>
                <w:rFonts w:eastAsia="Calibri"/>
                <w:b/>
                <w:color w:val="1F4D78"/>
                <w:sz w:val="19"/>
              </w:rPr>
              <w:t>E-mail (opcjonalnie)</w:t>
            </w:r>
          </w:p>
        </w:tc>
        <w:tc>
          <w:tcPr>
            <w:tcW w:w="7060" w:type="dxa"/>
            <w:tcMar>
              <w:top w:w="80" w:type="dxa"/>
              <w:left w:w="120" w:type="dxa"/>
              <w:bottom w:w="80" w:type="dxa"/>
              <w:right w:w="120" w:type="dxa"/>
            </w:tcMar>
            <w:vAlign w:val="center"/>
          </w:tcPr>
          <w:p w14:paraId="29DD2F8A" w14:textId="77777777" w:rsidR="00344CA5" w:rsidRDefault="00000000">
            <w:pPr>
              <w:spacing w:after="0"/>
            </w:pPr>
            <w:r>
              <w:rPr>
                <w:rFonts w:eastAsia="Calibri"/>
                <w:color w:val="5F6368"/>
                <w:sz w:val="20"/>
              </w:rPr>
              <w:t>[............................................................]</w:t>
            </w:r>
          </w:p>
        </w:tc>
      </w:tr>
    </w:tbl>
    <w:p w14:paraId="2931F1E0" w14:textId="77777777" w:rsidR="00344CA5" w:rsidRPr="009A5B7B" w:rsidRDefault="00000000">
      <w:pPr>
        <w:spacing w:before="280" w:after="0"/>
        <w:jc w:val="right"/>
        <w:rPr>
          <w:lang w:val="pl-PL"/>
        </w:rPr>
      </w:pPr>
      <w:r w:rsidRPr="009A5B7B">
        <w:rPr>
          <w:rFonts w:eastAsia="Calibri"/>
          <w:b/>
          <w:sz w:val="21"/>
          <w:lang w:val="pl-PL"/>
        </w:rPr>
        <w:t>Prezydent Rzeczypospolitej Polskiej</w:t>
      </w:r>
      <w:r w:rsidRPr="009A5B7B">
        <w:rPr>
          <w:rFonts w:eastAsia="Calibri"/>
          <w:b/>
          <w:sz w:val="21"/>
          <w:lang w:val="pl-PL"/>
        </w:rPr>
        <w:br/>
      </w:r>
      <w:r w:rsidRPr="009A5B7B">
        <w:rPr>
          <w:rFonts w:eastAsia="Calibri"/>
          <w:sz w:val="21"/>
          <w:lang w:val="pl-PL"/>
        </w:rPr>
        <w:t>Pan Karol Nawrocki</w:t>
      </w:r>
      <w:r w:rsidRPr="009A5B7B">
        <w:rPr>
          <w:rFonts w:eastAsia="Calibri"/>
          <w:sz w:val="21"/>
          <w:lang w:val="pl-PL"/>
        </w:rPr>
        <w:br/>
        <w:t>Kancelaria Prezydenta Rzeczypospolitej Polskiej</w:t>
      </w:r>
      <w:r w:rsidRPr="009A5B7B">
        <w:rPr>
          <w:rFonts w:eastAsia="Calibri"/>
          <w:sz w:val="21"/>
          <w:lang w:val="pl-PL"/>
        </w:rPr>
        <w:br/>
        <w:t>ul. Wiejska 10, 00-902 Warszawa</w:t>
      </w:r>
      <w:r w:rsidRPr="009A5B7B">
        <w:rPr>
          <w:rFonts w:eastAsia="Calibri"/>
          <w:sz w:val="21"/>
          <w:lang w:val="pl-PL"/>
        </w:rPr>
        <w:br/>
      </w:r>
    </w:p>
    <w:p w14:paraId="6F1CC694" w14:textId="77777777" w:rsidR="00344CA5" w:rsidRPr="009A5B7B" w:rsidRDefault="00000000">
      <w:pPr>
        <w:keepNext/>
        <w:rPr>
          <w:lang w:val="pl-PL"/>
        </w:rPr>
      </w:pPr>
      <w:r w:rsidRPr="009A5B7B">
        <w:rPr>
          <w:rFonts w:eastAsia="Calibri"/>
          <w:lang w:val="pl-PL"/>
        </w:rPr>
        <w:t>Szanowny Panie Prezydencie,</w:t>
      </w:r>
    </w:p>
    <w:p w14:paraId="3DFB1FF1" w14:textId="56D359AF" w:rsidR="00344CA5" w:rsidRPr="009A5B7B" w:rsidRDefault="00000000">
      <w:pPr>
        <w:keepLines/>
        <w:rPr>
          <w:lang w:val="pl-PL"/>
        </w:rPr>
      </w:pPr>
      <w:r w:rsidRPr="009A5B7B">
        <w:rPr>
          <w:rFonts w:eastAsia="Calibri"/>
          <w:lang w:val="pl-PL"/>
        </w:rPr>
        <w:t>zwracam się do Pana jako obywatel, który oczekuje od państwa prawa zrozumiałego, sprawiedliwego i możliwego do wykonania. Opieka nad dziećmi do lat 3 nie jest sprawą wyłącznie rodziców ani właścicieli placówek. Jest elementem bezpieczeństwa rodzin, aktywności zawodowej, polityki demograficznej i odpowiedzialnego gospodarowania środkami publicznymi.</w:t>
      </w:r>
    </w:p>
    <w:p w14:paraId="660523E9" w14:textId="77777777" w:rsidR="00344CA5" w:rsidRPr="009A5B7B" w:rsidRDefault="00000000">
      <w:pPr>
        <w:rPr>
          <w:lang w:val="pl-PL"/>
        </w:rPr>
      </w:pPr>
      <w:r w:rsidRPr="009A5B7B">
        <w:rPr>
          <w:rFonts w:eastAsia="Calibri"/>
          <w:lang w:val="pl-PL"/>
        </w:rPr>
        <w:t>Popieram wysokie standardy opieki, dobre przygotowanie kadry, zdrowe żywienie i skuteczny nadzór. Nie sprzeciwiam się więc celom reformy. Wnoszę jednak, aby przed jej podpisaniem ustalić, czy przyjęte środki są kompletne, proporcjonalne i oparte na rzetelnych danych, a nie jedynie na słusznie brzmiących deklaracjach.</w:t>
      </w:r>
    </w:p>
    <w:p w14:paraId="6E3F86CC" w14:textId="05245FA7" w:rsidR="00344CA5" w:rsidRPr="009A5B7B" w:rsidRDefault="00000000">
      <w:pPr>
        <w:pStyle w:val="Nagwek2"/>
        <w:jc w:val="left"/>
        <w:rPr>
          <w:lang w:val="pl-PL"/>
        </w:rPr>
      </w:pPr>
      <w:r w:rsidRPr="009A5B7B">
        <w:rPr>
          <w:rFonts w:ascii="Calibri" w:eastAsia="Calibri" w:hAnsi="Calibri"/>
          <w:lang w:val="pl-PL"/>
        </w:rPr>
        <w:t>Stabilność prawa jest wartością publiczną</w:t>
      </w:r>
    </w:p>
    <w:p w14:paraId="16232232" w14:textId="77777777" w:rsidR="00344CA5" w:rsidRPr="009A5B7B" w:rsidRDefault="00000000">
      <w:pPr>
        <w:rPr>
          <w:lang w:val="pl-PL"/>
        </w:rPr>
      </w:pPr>
      <w:r w:rsidRPr="009A5B7B">
        <w:rPr>
          <w:rFonts w:eastAsia="Calibri"/>
          <w:lang w:val="pl-PL"/>
        </w:rPr>
        <w:t>Przepisy dotyczące opieki nad dziećmi do lat 3 były w ostatnich latach wielokrotnie zmieniane. Kolejna rozległa nowelizacja powinna zostać poprzedzona oceną, które wcześniejsze rozwiązania zadziałały, które zawiodły i dlaczego. Bez takiej ewaluacji państwo ryzykuje nakładanie kolejnych warstw obowiązków na system, którego rzeczywistych problemów nie rozpoznano w sposób całościowy.</w:t>
      </w:r>
    </w:p>
    <w:p w14:paraId="5CE382CC" w14:textId="77777777" w:rsidR="00344CA5" w:rsidRPr="009A5B7B" w:rsidRDefault="00000000">
      <w:pPr>
        <w:rPr>
          <w:lang w:val="pl-PL"/>
        </w:rPr>
      </w:pPr>
      <w:r w:rsidRPr="009A5B7B">
        <w:rPr>
          <w:rFonts w:eastAsia="Calibri"/>
          <w:lang w:val="pl-PL"/>
        </w:rPr>
        <w:t>Zasada demokratycznego państwa prawnego z art. 2 Konstytucji RP obejmuje pewność prawa i ochronę zaufania obywateli do państwa. Adresaci norm powinni znać ich treść, koszt i konsekwencje z odpowiednim wyprzedzeniem. Częste zmiany, krótkie okresy dostosowawcze oraz istotne wymagania pozostawione do późniejszych rozporządzeń osłabiają to zaufanie.</w:t>
      </w:r>
    </w:p>
    <w:p w14:paraId="1F1DB383" w14:textId="5F762B4F" w:rsidR="00344CA5" w:rsidRPr="009A5B7B" w:rsidRDefault="00000000">
      <w:pPr>
        <w:pStyle w:val="Nagwek2"/>
        <w:jc w:val="left"/>
        <w:rPr>
          <w:lang w:val="pl-PL"/>
        </w:rPr>
      </w:pPr>
      <w:r w:rsidRPr="009A5B7B">
        <w:rPr>
          <w:rFonts w:ascii="Calibri" w:eastAsia="Calibri" w:hAnsi="Calibri"/>
          <w:lang w:val="pl-PL"/>
        </w:rPr>
        <w:t>Ocena skutków musi obejmować cały system, nie tylko liczbę nowych miejsc</w:t>
      </w:r>
    </w:p>
    <w:p w14:paraId="517C758A" w14:textId="77777777" w:rsidR="00344CA5" w:rsidRPr="009A5B7B" w:rsidRDefault="00000000">
      <w:pPr>
        <w:rPr>
          <w:lang w:val="pl-PL"/>
        </w:rPr>
      </w:pPr>
      <w:r w:rsidRPr="009A5B7B">
        <w:rPr>
          <w:rFonts w:eastAsia="Calibri"/>
          <w:lang w:val="pl-PL"/>
        </w:rPr>
        <w:t>Skuteczności polityki publicznej nie można mierzyć wyłącznie liczbą miejsc utworzonych w ramach programów finansowania. Potrzebny jest równoległy bilans miejsc zamykanych, przyczyn likwidacji placówek, terytorialnej dostępności opieki, wysokości opłat, rotacji pracowników i kosztu przypadającego na jedno realnie działające miejsce.</w:t>
      </w:r>
    </w:p>
    <w:p w14:paraId="2EB61DE1" w14:textId="77777777" w:rsidR="00344CA5" w:rsidRPr="009A5B7B" w:rsidRDefault="00000000">
      <w:pPr>
        <w:rPr>
          <w:lang w:val="pl-PL"/>
        </w:rPr>
      </w:pPr>
      <w:r w:rsidRPr="009A5B7B">
        <w:rPr>
          <w:rFonts w:eastAsia="Calibri"/>
          <w:lang w:val="pl-PL"/>
        </w:rPr>
        <w:lastRenderedPageBreak/>
        <w:t>Jeżeli ustawodawca nie przedstawia takiego bilansu ani wariantowej oceny nowych kosztów, nie można rzetelnie ustalić, czy ustawa zwiększy dostępność, czy też część placówek ograniczy działalność, podniesie opłaty albo zrezygnuje z inwestycji. Wydatki publiczne powinny być oceniane przez trwały rezultat dla obywatela, a nie przez sam fakt uruchomienia programu.</w:t>
      </w:r>
    </w:p>
    <w:p w14:paraId="1BA5060D" w14:textId="536864E4" w:rsidR="00344CA5" w:rsidRPr="009A5B7B" w:rsidRDefault="00000000">
      <w:pPr>
        <w:pStyle w:val="Nagwek2"/>
        <w:jc w:val="left"/>
        <w:rPr>
          <w:lang w:val="pl-PL"/>
        </w:rPr>
      </w:pPr>
      <w:r w:rsidRPr="009A5B7B">
        <w:rPr>
          <w:rFonts w:ascii="Calibri" w:eastAsia="Calibri" w:hAnsi="Calibri"/>
          <w:lang w:val="pl-PL"/>
        </w:rPr>
        <w:t>Poważna reforma wymaga rzeczywistych konsultacji</w:t>
      </w:r>
    </w:p>
    <w:p w14:paraId="24E5D4E0" w14:textId="77777777" w:rsidR="00344CA5" w:rsidRPr="009A5B7B" w:rsidRDefault="00000000">
      <w:pPr>
        <w:rPr>
          <w:lang w:val="pl-PL"/>
        </w:rPr>
      </w:pPr>
      <w:r w:rsidRPr="009A5B7B">
        <w:rPr>
          <w:rFonts w:eastAsia="Calibri"/>
          <w:lang w:val="pl-PL"/>
        </w:rPr>
        <w:t>Konsultacje nie powinny sprowadzać się do formalnego zebrania uwag, jeżeli praktycy nie mają czasu na analizę kompletu przepisów albo nie otrzymują odpowiedzi na zasadnicze zastrzeżenia. Rodzice, pracownicy, samorządy i podmioty prowadzące widzą różne skutki tej samej regulacji. Pominięcie którejkolwiek z tych perspektyw zwiększa ryzyko błędu, za który po wejściu ustawy w życie zapłacą dzieci, rodziny i podatnicy.</w:t>
      </w:r>
    </w:p>
    <w:p w14:paraId="2024590A" w14:textId="77777777" w:rsidR="00344CA5" w:rsidRPr="009A5B7B" w:rsidRDefault="00000000">
      <w:pPr>
        <w:rPr>
          <w:lang w:val="pl-PL"/>
        </w:rPr>
      </w:pPr>
      <w:r w:rsidRPr="009A5B7B">
        <w:rPr>
          <w:rFonts w:eastAsia="Calibri"/>
          <w:lang w:val="pl-PL"/>
        </w:rPr>
        <w:t>W sprawie o tak szerokim oddziaływaniu potrzebne są publiczne zestawienie zgłoszonych uwag, uzasadnienie ich przyjęcia albo odrzucenia oraz wysłuchanie praktyków przed zamknięciem projektu. Dialog nie osłabia państwa; pozwala mu wcześniej wykryć skutki, których nie widać z poziomu samego tekstu ustawy.</w:t>
      </w:r>
    </w:p>
    <w:p w14:paraId="2D7888EF" w14:textId="66F36DF2" w:rsidR="00344CA5" w:rsidRPr="009A5B7B" w:rsidRDefault="00000000">
      <w:pPr>
        <w:pStyle w:val="Nagwek2"/>
        <w:jc w:val="left"/>
        <w:rPr>
          <w:lang w:val="pl-PL"/>
        </w:rPr>
      </w:pPr>
      <w:r w:rsidRPr="009A5B7B">
        <w:rPr>
          <w:rFonts w:ascii="Calibri" w:eastAsia="Calibri" w:hAnsi="Calibri"/>
          <w:lang w:val="pl-PL"/>
        </w:rPr>
        <w:t>Równe zadanie publiczne wymaga obiektywnych zasad</w:t>
      </w:r>
    </w:p>
    <w:p w14:paraId="042A0A6D" w14:textId="77777777" w:rsidR="00344CA5" w:rsidRPr="009A5B7B" w:rsidRDefault="00000000">
      <w:pPr>
        <w:rPr>
          <w:lang w:val="pl-PL"/>
        </w:rPr>
      </w:pPr>
      <w:r w:rsidRPr="009A5B7B">
        <w:rPr>
          <w:rFonts w:eastAsia="Calibri"/>
          <w:lang w:val="pl-PL"/>
        </w:rPr>
        <w:t>Placówki samorządowe i niepubliczne mają różne modele organizacyjne i finansowe, lecz wobec dziecka realizują to samo podstawowe zadanie: zapewniają bezpieczną opiekę. Zróżnicowanie obowiązków, terminów, uprawnień kadry lub dostępu do wsparcia powinno mieć obiektywne i proporcjonalne uzasadnienie, a jego wpływ na dostępność miejsc powinien być jawnie policzony.</w:t>
      </w:r>
    </w:p>
    <w:p w14:paraId="5BDEA3A7" w14:textId="77777777" w:rsidR="00344CA5" w:rsidRPr="009A5B7B" w:rsidRDefault="00000000">
      <w:pPr>
        <w:rPr>
          <w:lang w:val="pl-PL"/>
        </w:rPr>
      </w:pPr>
      <w:r w:rsidRPr="009A5B7B">
        <w:rPr>
          <w:rFonts w:eastAsia="Calibri"/>
          <w:lang w:val="pl-PL"/>
        </w:rPr>
        <w:t>Szczególnej ostrożności wymaga sytuacja, w której gmina prowadzi własne placówki, finansuje je i jednocześnie nadzoruje podmioty niepubliczne działające na tym samym terenie. Zaufanie obywateli wymaga przejrzystych kryteriów, porównywalnego standardu kontroli, mechanizmu wyłączenia w razie konfliktu ról i skutecznej ścieżki weryfikacji rozstrzygnięć.</w:t>
      </w:r>
    </w:p>
    <w:p w14:paraId="07393662" w14:textId="23CDC511" w:rsidR="00344CA5" w:rsidRPr="009A5B7B" w:rsidRDefault="00000000">
      <w:pPr>
        <w:pStyle w:val="Nagwek2"/>
        <w:jc w:val="left"/>
        <w:rPr>
          <w:lang w:val="pl-PL"/>
        </w:rPr>
      </w:pPr>
      <w:r w:rsidRPr="009A5B7B">
        <w:rPr>
          <w:rFonts w:ascii="Calibri" w:eastAsia="Calibri" w:hAnsi="Calibri"/>
          <w:lang w:val="pl-PL"/>
        </w:rPr>
        <w:t>Najważniejsze obowiązki powinny być znane przed podpisaniem ustawy</w:t>
      </w:r>
    </w:p>
    <w:p w14:paraId="38E7F29E" w14:textId="77777777" w:rsidR="00344CA5" w:rsidRPr="009A5B7B" w:rsidRDefault="00000000">
      <w:pPr>
        <w:rPr>
          <w:lang w:val="pl-PL"/>
        </w:rPr>
      </w:pPr>
      <w:r w:rsidRPr="009A5B7B">
        <w:rPr>
          <w:rFonts w:eastAsia="Calibri"/>
          <w:lang w:val="pl-PL"/>
        </w:rPr>
        <w:t>Jeżeli istotna treść standardów opieki lub żywienia ma zostać ustalona dopiero w rozporządzeniu, obywatel nie może ocenić pełnego zakresu reformy, kosztów jej wykonania ani związanych z nią sankcji. Delegacja ustawowa jest potrzebnym narzędziem technicznym, lecz nie powinna zastępować ustawy w rozstrzyganiu spraw zasadniczych.</w:t>
      </w:r>
    </w:p>
    <w:p w14:paraId="355366E6" w14:textId="77777777" w:rsidR="00344CA5" w:rsidRPr="009A5B7B" w:rsidRDefault="00000000">
      <w:pPr>
        <w:rPr>
          <w:lang w:val="pl-PL"/>
        </w:rPr>
      </w:pPr>
      <w:r w:rsidRPr="009A5B7B">
        <w:rPr>
          <w:rFonts w:eastAsia="Calibri"/>
          <w:lang w:val="pl-PL"/>
        </w:rPr>
        <w:t>Szczególnie niebezpieczne jest połączenie niedookreślonego obowiązku z dotkliwymi konsekwencjami, takimi jak wykreślenie placówki z rejestru. Państwo powinno jasno rozróżniać uchybienia zagrażające zdrowiu lub życiu od naruszeń formalnych, stopniować środki nadzorcze i dawać realną możliwość naprawy, zanim powstaną nieodwracalne skutki dla dzieci, pracowników i rodzin.</w:t>
      </w:r>
    </w:p>
    <w:p w14:paraId="5B9F54AD" w14:textId="280DE316" w:rsidR="00344CA5" w:rsidRPr="009A5B7B" w:rsidRDefault="00000000">
      <w:pPr>
        <w:pStyle w:val="Nagwek2"/>
        <w:jc w:val="left"/>
        <w:rPr>
          <w:lang w:val="pl-PL"/>
        </w:rPr>
      </w:pPr>
      <w:r w:rsidRPr="009A5B7B">
        <w:rPr>
          <w:rFonts w:ascii="Calibri" w:eastAsia="Calibri" w:hAnsi="Calibri"/>
          <w:lang w:val="pl-PL"/>
        </w:rPr>
        <w:lastRenderedPageBreak/>
        <w:t>Cyfryzacja nie uzasadnia gromadzenia danych ponad potrzebę</w:t>
      </w:r>
    </w:p>
    <w:p w14:paraId="0A8069DC" w14:textId="77777777" w:rsidR="00344CA5" w:rsidRPr="009A5B7B" w:rsidRDefault="00000000">
      <w:pPr>
        <w:rPr>
          <w:lang w:val="pl-PL"/>
        </w:rPr>
      </w:pPr>
      <w:r w:rsidRPr="009A5B7B">
        <w:rPr>
          <w:rFonts w:eastAsia="Calibri"/>
          <w:lang w:val="pl-PL"/>
        </w:rPr>
        <w:t>Elektroniczny rejestr może ograniczyć biurokrację i poprawić wiedzę państwa o systemie, ale tylko wtedy, gdy zakres danych jest ściśle związany z konkretnym celem publicznym. Należy jednoznacznie określić, kto ma dostęp do informacji, jak długo są przechowywane, jak można je sprostować i dlaczego nie wystarczą dane zagregowane lub przedziały.</w:t>
      </w:r>
    </w:p>
    <w:p w14:paraId="7B69DDCE" w14:textId="77777777" w:rsidR="00344CA5" w:rsidRPr="009A5B7B" w:rsidRDefault="00000000">
      <w:pPr>
        <w:rPr>
          <w:lang w:val="pl-PL"/>
        </w:rPr>
      </w:pPr>
      <w:r w:rsidRPr="009A5B7B">
        <w:rPr>
          <w:rFonts w:eastAsia="Calibri"/>
          <w:lang w:val="pl-PL"/>
        </w:rPr>
        <w:t>Dotyczy to zwłaszcza danych o dzieciach, rodzicach i dokładnych wynagrodzeniach pracowników. Art. 47 i art. 51 ust. 2 Konstytucji RP wymagają poszanowania prywatności oraz ograniczenia pozyskiwania informacji do tego, co niezbędne w demokratycznym państwie prawnym. Wygoda administracji nie może sama w sobie uzasadniać szerszej ingerencji.</w:t>
      </w:r>
    </w:p>
    <w:p w14:paraId="276F3394" w14:textId="37CD8887" w:rsidR="00344CA5" w:rsidRPr="009A5B7B" w:rsidRDefault="00000000">
      <w:pPr>
        <w:pStyle w:val="Nagwek2"/>
        <w:jc w:val="left"/>
        <w:rPr>
          <w:lang w:val="pl-PL"/>
        </w:rPr>
      </w:pPr>
      <w:r w:rsidRPr="009A5B7B">
        <w:rPr>
          <w:rFonts w:ascii="Calibri" w:eastAsia="Calibri" w:hAnsi="Calibri"/>
          <w:lang w:val="pl-PL"/>
        </w:rPr>
        <w:t>Koszty i okresy przejściowe decydują o wykonalności prawa</w:t>
      </w:r>
    </w:p>
    <w:p w14:paraId="701A8576" w14:textId="77777777" w:rsidR="00344CA5" w:rsidRPr="009A5B7B" w:rsidRDefault="00000000">
      <w:pPr>
        <w:rPr>
          <w:lang w:val="pl-PL"/>
        </w:rPr>
      </w:pPr>
      <w:r w:rsidRPr="009A5B7B">
        <w:rPr>
          <w:rFonts w:eastAsia="Calibri"/>
          <w:lang w:val="pl-PL"/>
        </w:rPr>
        <w:t>Nowe standardy, szkolenia, zastępstwa, dokumentacja i dostosowanie infrastruktury tworzą rzeczywiste koszty. Jeżeli ustawa nie wskazuje ich źródła finansowania ani wystarczającego okresu przejściowego liczonego od ogłoszenia kompletu przepisów, koszty zostaną przeniesione na rodziny, samorządy, pracowników albo placówki. Nie znikną tylko dlatego, że nie zostały pokazane w ocenie skutków regulacji.</w:t>
      </w:r>
    </w:p>
    <w:p w14:paraId="447EF1C2" w14:textId="77777777" w:rsidR="00344CA5" w:rsidRPr="009A5B7B" w:rsidRDefault="00000000">
      <w:pPr>
        <w:rPr>
          <w:lang w:val="pl-PL"/>
        </w:rPr>
      </w:pPr>
      <w:r w:rsidRPr="009A5B7B">
        <w:rPr>
          <w:rFonts w:eastAsia="Calibri"/>
          <w:lang w:val="pl-PL"/>
        </w:rPr>
        <w:t>Państwo powinno także chronić inwestycje i kwalifikacje zdobyte zgodnie z dotychczasowym prawem. Zmiana reguł musi uwzględniać istniejące lokale, umowy, kredyty, programy publiczne oraz obiektywne ograniczenia techniczne. Inaczej obywatel otrzymuje sygnał, że działanie w zaufaniu do państwa nie zapewnia elementarnej przewidywalności.</w:t>
      </w:r>
    </w:p>
    <w:p w14:paraId="550D7CE9" w14:textId="62FB6C19" w:rsidR="00344CA5" w:rsidRPr="009A5B7B" w:rsidRDefault="00000000">
      <w:pPr>
        <w:pStyle w:val="Nagwek2"/>
        <w:jc w:val="left"/>
        <w:rPr>
          <w:lang w:val="pl-PL"/>
        </w:rPr>
      </w:pPr>
      <w:r w:rsidRPr="009A5B7B">
        <w:rPr>
          <w:rFonts w:ascii="Calibri" w:eastAsia="Calibri" w:hAnsi="Calibri"/>
          <w:lang w:val="pl-PL"/>
        </w:rPr>
        <w:t>Weto może służyć poprawieniu ustawy</w:t>
      </w:r>
    </w:p>
    <w:p w14:paraId="017DE3E5" w14:textId="77777777" w:rsidR="00344CA5" w:rsidRPr="009A5B7B" w:rsidRDefault="00000000">
      <w:pPr>
        <w:rPr>
          <w:lang w:val="pl-PL"/>
        </w:rPr>
      </w:pPr>
      <w:r w:rsidRPr="009A5B7B">
        <w:rPr>
          <w:rFonts w:eastAsia="Calibri"/>
          <w:lang w:val="pl-PL"/>
        </w:rPr>
        <w:t>W uzasadnieniach swoich decyzji wskazywał Pan na konkretne skutki regulacji dla obywateli, koszty wdrożenia, pewność prawa, zaufanie do państwa i potrzebę właściwego rozłożenia obowiązków w czasie. Podkreślał Pan również, że odmowa podpisania może otworzyć drogę do rozwiązania lepszego i bardziej proporcjonalnego. Taki naprawczy charakter powinno mieć weto w tej sprawie.</w:t>
      </w:r>
    </w:p>
    <w:p w14:paraId="559C7539" w14:textId="77777777" w:rsidR="00344CA5" w:rsidRPr="009A5B7B" w:rsidRDefault="00000000">
      <w:pPr>
        <w:rPr>
          <w:lang w:val="pl-PL"/>
        </w:rPr>
      </w:pPr>
      <w:r w:rsidRPr="009A5B7B">
        <w:rPr>
          <w:rFonts w:eastAsia="Calibri"/>
          <w:lang w:val="pl-PL"/>
        </w:rPr>
        <w:t>Wnoszę, aby ponowne procedowanie ustawy zostało poprzedzone spełnieniem następujących warunków:</w:t>
      </w:r>
    </w:p>
    <w:p w14:paraId="6E49EBEA" w14:textId="77777777" w:rsidR="00344CA5" w:rsidRPr="009A5B7B" w:rsidRDefault="00000000">
      <w:pPr>
        <w:pStyle w:val="PetitionList"/>
        <w:numPr>
          <w:ilvl w:val="0"/>
          <w:numId w:val="1"/>
        </w:numPr>
        <w:rPr>
          <w:lang w:val="pl-PL"/>
        </w:rPr>
      </w:pPr>
      <w:r w:rsidRPr="009A5B7B">
        <w:rPr>
          <w:rFonts w:eastAsia="Calibri"/>
          <w:color w:val="000000"/>
          <w:lang w:val="pl-PL"/>
        </w:rPr>
        <w:t>pełna ewaluacja zmian z lat 2024-2026 oraz publiczny, terytorialny bilans miejsc utworzonych i zlikwidowanych wraz z przyczynami zamknięć;</w:t>
      </w:r>
    </w:p>
    <w:p w14:paraId="24EC5E01" w14:textId="77777777" w:rsidR="00344CA5" w:rsidRPr="009A5B7B" w:rsidRDefault="00000000">
      <w:pPr>
        <w:pStyle w:val="PetitionList"/>
        <w:numPr>
          <w:ilvl w:val="0"/>
          <w:numId w:val="1"/>
        </w:numPr>
        <w:rPr>
          <w:lang w:val="pl-PL"/>
        </w:rPr>
      </w:pPr>
      <w:r w:rsidRPr="009A5B7B">
        <w:rPr>
          <w:rFonts w:eastAsia="Calibri"/>
          <w:color w:val="000000"/>
          <w:lang w:val="pl-PL"/>
        </w:rPr>
        <w:t>wariantowa ocena kosztów nowych obowiązków dla rodzin, placówek, pracowników, samorządów i budżetu państwa, w przeliczeniu na jedno miejsce opieki;</w:t>
      </w:r>
    </w:p>
    <w:p w14:paraId="1ADF18B8" w14:textId="77777777" w:rsidR="00344CA5" w:rsidRPr="009A5B7B" w:rsidRDefault="00000000">
      <w:pPr>
        <w:pStyle w:val="PetitionList"/>
        <w:numPr>
          <w:ilvl w:val="0"/>
          <w:numId w:val="1"/>
        </w:numPr>
        <w:rPr>
          <w:lang w:val="pl-PL"/>
        </w:rPr>
      </w:pPr>
      <w:r w:rsidRPr="009A5B7B">
        <w:rPr>
          <w:rFonts w:eastAsia="Calibri"/>
          <w:color w:val="000000"/>
          <w:lang w:val="pl-PL"/>
        </w:rPr>
        <w:t>przeniesienie zasadniczych standardów, obowiązków i przesłanek sankcji do ustawy oraz przedstawienie kompletu projektów rozporządzeń przed zakończeniem prac;</w:t>
      </w:r>
    </w:p>
    <w:p w14:paraId="7BC401D6" w14:textId="77777777" w:rsidR="00344CA5" w:rsidRPr="009A5B7B" w:rsidRDefault="00000000">
      <w:pPr>
        <w:pStyle w:val="PetitionList"/>
        <w:numPr>
          <w:ilvl w:val="0"/>
          <w:numId w:val="1"/>
        </w:numPr>
        <w:rPr>
          <w:lang w:val="pl-PL"/>
        </w:rPr>
      </w:pPr>
      <w:r w:rsidRPr="009A5B7B">
        <w:rPr>
          <w:rFonts w:eastAsia="Calibri"/>
          <w:color w:val="000000"/>
          <w:lang w:val="pl-PL"/>
        </w:rPr>
        <w:t>równe i obiektywne zasady nadzoru, z zabezpieczeniami na wypadek konfliktu ról gminy oraz skuteczną ochroną przed nieodwracalnymi skutkami decyzji;</w:t>
      </w:r>
    </w:p>
    <w:p w14:paraId="29877B62" w14:textId="77777777" w:rsidR="00344CA5" w:rsidRPr="009A5B7B" w:rsidRDefault="00000000">
      <w:pPr>
        <w:pStyle w:val="PetitionList"/>
        <w:numPr>
          <w:ilvl w:val="0"/>
          <w:numId w:val="1"/>
        </w:numPr>
        <w:rPr>
          <w:lang w:val="pl-PL"/>
        </w:rPr>
      </w:pPr>
      <w:r w:rsidRPr="009A5B7B">
        <w:rPr>
          <w:rFonts w:eastAsia="Calibri"/>
          <w:color w:val="000000"/>
          <w:lang w:val="pl-PL"/>
        </w:rPr>
        <w:t>ograniczenie zakresu rejestru do danych niezbędnych, pierwszeństwo danych zagregowanych i rzeczywista zasada jednokrotnego przekazywania informacji;</w:t>
      </w:r>
    </w:p>
    <w:p w14:paraId="4D953631" w14:textId="77777777" w:rsidR="00344CA5" w:rsidRPr="009A5B7B" w:rsidRDefault="00000000">
      <w:pPr>
        <w:pStyle w:val="PetitionList"/>
        <w:numPr>
          <w:ilvl w:val="0"/>
          <w:numId w:val="1"/>
        </w:numPr>
        <w:rPr>
          <w:lang w:val="pl-PL"/>
        </w:rPr>
      </w:pPr>
      <w:r w:rsidRPr="009A5B7B">
        <w:rPr>
          <w:rFonts w:eastAsia="Calibri"/>
          <w:color w:val="000000"/>
          <w:lang w:val="pl-PL"/>
        </w:rPr>
        <w:lastRenderedPageBreak/>
        <w:t>wskazanie źródła finansowania nowych obowiązków oraz racjonalne okresy przejściowe liczone od publikacji kompletnych przepisów wykonawczych;</w:t>
      </w:r>
    </w:p>
    <w:p w14:paraId="704CDC9A" w14:textId="77777777" w:rsidR="00344CA5" w:rsidRPr="009A5B7B" w:rsidRDefault="00000000">
      <w:pPr>
        <w:pStyle w:val="PetitionList"/>
        <w:numPr>
          <w:ilvl w:val="0"/>
          <w:numId w:val="1"/>
        </w:numPr>
        <w:rPr>
          <w:lang w:val="pl-PL"/>
        </w:rPr>
      </w:pPr>
      <w:r w:rsidRPr="009A5B7B">
        <w:rPr>
          <w:rFonts w:eastAsia="Calibri"/>
          <w:color w:val="000000"/>
          <w:lang w:val="pl-PL"/>
        </w:rPr>
        <w:t>ochrona istniejących placówek, inwestycji i kwalifikacji oraz dopuszczenie równoważnych sposobów spełnienia celu tam, gdzie dostosowanie jest obiektywnie niemożliwe;</w:t>
      </w:r>
    </w:p>
    <w:p w14:paraId="4FB7E1E0" w14:textId="77777777" w:rsidR="00344CA5" w:rsidRPr="009A5B7B" w:rsidRDefault="00000000">
      <w:pPr>
        <w:pStyle w:val="PetitionList"/>
        <w:numPr>
          <w:ilvl w:val="0"/>
          <w:numId w:val="1"/>
        </w:numPr>
        <w:rPr>
          <w:lang w:val="pl-PL"/>
        </w:rPr>
      </w:pPr>
      <w:r w:rsidRPr="009A5B7B">
        <w:rPr>
          <w:rFonts w:eastAsia="Calibri"/>
          <w:color w:val="000000"/>
          <w:lang w:val="pl-PL"/>
        </w:rPr>
        <w:t>rzeczywiste konsultacje z rodzicami, pracownikami, samorządami i reprezentatywnymi organizacjami podmiotów publicznych oraz niepublicznych, zakończone publicznym raportem;</w:t>
      </w:r>
    </w:p>
    <w:p w14:paraId="5C6137CC" w14:textId="77777777" w:rsidR="00344CA5" w:rsidRPr="009A5B7B" w:rsidRDefault="00000000">
      <w:pPr>
        <w:pStyle w:val="PetitionList"/>
        <w:numPr>
          <w:ilvl w:val="0"/>
          <w:numId w:val="1"/>
        </w:numPr>
        <w:rPr>
          <w:lang w:val="pl-PL"/>
        </w:rPr>
      </w:pPr>
      <w:r w:rsidRPr="009A5B7B">
        <w:rPr>
          <w:rFonts w:eastAsia="Calibri"/>
          <w:color w:val="000000"/>
          <w:lang w:val="pl-PL"/>
        </w:rPr>
        <w:t>obowiązkowy, niezależny przegląd skutków ustawy po 12 miesiącach, obejmujący dostępność, ceny, zatrudnienie, jakość opieki i liczbę zamykanych placówek.</w:t>
      </w:r>
    </w:p>
    <w:p w14:paraId="18A67CC1" w14:textId="77777777" w:rsidR="00344CA5" w:rsidRPr="009A5B7B" w:rsidRDefault="00000000">
      <w:pPr>
        <w:pStyle w:val="Nagwek1"/>
        <w:jc w:val="left"/>
        <w:rPr>
          <w:lang w:val="pl-PL"/>
        </w:rPr>
      </w:pPr>
      <w:r w:rsidRPr="009A5B7B">
        <w:rPr>
          <w:rFonts w:ascii="Calibri" w:eastAsia="Calibri" w:hAnsi="Calibri"/>
          <w:lang w:val="pl-PL"/>
        </w:rPr>
        <w:t>Wniosek końcowy</w:t>
      </w:r>
    </w:p>
    <w:p w14:paraId="460CC451" w14:textId="77777777" w:rsidR="00344CA5" w:rsidRPr="009A5B7B" w:rsidRDefault="00000000">
      <w:pPr>
        <w:keepLines/>
        <w:rPr>
          <w:lang w:val="pl-PL"/>
        </w:rPr>
      </w:pPr>
      <w:r w:rsidRPr="009A5B7B">
        <w:rPr>
          <w:rFonts w:eastAsia="Calibri"/>
          <w:lang w:val="pl-PL"/>
        </w:rPr>
        <w:t>Panie Prezydencie, obywatel ma prawo oczekiwać, że ustawa dotycząca najmłodszych dzieci będzie kompletna przed podpisem, sprawdzona na danych, uczciwie skonsultowana i możliwa do wykonania bez skutków odwrotnych do deklarowanych. Dobre intencje nie zwalniają państwa z obowiązku przewidywania konsekwencji.</w:t>
      </w:r>
    </w:p>
    <w:p w14:paraId="72D426D9" w14:textId="77777777" w:rsidR="00344CA5" w:rsidRPr="009A5B7B" w:rsidRDefault="00000000">
      <w:pPr>
        <w:rPr>
          <w:lang w:val="pl-PL"/>
        </w:rPr>
      </w:pPr>
      <w:r w:rsidRPr="009A5B7B">
        <w:rPr>
          <w:rFonts w:eastAsia="Calibri"/>
          <w:lang w:val="pl-PL"/>
        </w:rPr>
        <w:t>Nie wnoszę o porzucenie reformy ani o obniżenie standardów. Wnoszę o weto naprawcze i przygotowanie ustawy lepszej: stabilnej, proporcjonalnej, szanującej prywatność i zaufanie do państwa, a przede wszystkim rzeczywiście zwiększającej dostępność bezpiecznej opieki. Dlatego wnoszę jak na wstępie.</w:t>
      </w:r>
    </w:p>
    <w:p w14:paraId="0963DB2C" w14:textId="77777777" w:rsidR="009A5B7B" w:rsidRDefault="00000000" w:rsidP="009A5B7B">
      <w:pPr>
        <w:keepLines/>
        <w:spacing w:before="160" w:after="0"/>
        <w:jc w:val="right"/>
        <w:rPr>
          <w:rFonts w:eastAsia="Calibri"/>
          <w:i/>
          <w:lang w:val="pl-PL"/>
        </w:rPr>
      </w:pPr>
      <w:r w:rsidRPr="009A5B7B">
        <w:rPr>
          <w:rFonts w:eastAsia="Calibri"/>
          <w:i/>
          <w:lang w:val="pl-PL"/>
        </w:rPr>
        <w:t>Z poważaniem</w:t>
      </w:r>
    </w:p>
    <w:p w14:paraId="5C4EF089" w14:textId="14962829" w:rsidR="009A5B7B" w:rsidRPr="009A5B7B" w:rsidRDefault="00000000" w:rsidP="009A5B7B">
      <w:pPr>
        <w:keepLines/>
        <w:spacing w:before="160" w:after="0"/>
        <w:jc w:val="right"/>
        <w:rPr>
          <w:lang w:val="pl-PL"/>
        </w:rPr>
      </w:pPr>
      <w:r w:rsidRPr="009A5B7B">
        <w:rPr>
          <w:rFonts w:eastAsia="Calibri"/>
          <w:i/>
          <w:lang w:val="pl-PL"/>
        </w:rPr>
        <w:br/>
      </w:r>
      <w:r w:rsidRPr="009A5B7B">
        <w:rPr>
          <w:rFonts w:eastAsia="Calibri"/>
          <w:lang w:val="pl-PL"/>
        </w:rPr>
        <w:t>............................................................</w:t>
      </w:r>
      <w:r w:rsidRPr="009A5B7B">
        <w:rPr>
          <w:rFonts w:eastAsia="Calibri"/>
          <w:lang w:val="pl-PL"/>
        </w:rPr>
        <w:br/>
      </w:r>
      <w:r w:rsidRPr="009A5B7B">
        <w:rPr>
          <w:rFonts w:eastAsia="Calibri"/>
          <w:color w:val="5F6368"/>
          <w:sz w:val="18"/>
          <w:lang w:val="pl-PL"/>
        </w:rPr>
        <w:t>czytelny podpis</w:t>
      </w:r>
    </w:p>
    <w:p w14:paraId="4E828E77" w14:textId="626ED8BE" w:rsidR="00344CA5" w:rsidRPr="009A5B7B" w:rsidRDefault="00344CA5">
      <w:pPr>
        <w:rPr>
          <w:lang w:val="pl-PL"/>
        </w:rPr>
      </w:pPr>
    </w:p>
    <w:sectPr w:rsidR="00344CA5" w:rsidRPr="009A5B7B" w:rsidSect="00034616">
      <w:footerReference w:type="default" r:id="rId8"/>
      <w:pgSz w:w="11906" w:h="16838"/>
      <w:pgMar w:top="1191" w:right="1304" w:bottom="1134" w:left="1304" w:header="62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553D8" w14:textId="77777777" w:rsidR="00565AD5" w:rsidRDefault="00565AD5">
      <w:pPr>
        <w:spacing w:after="0" w:line="240" w:lineRule="auto"/>
      </w:pPr>
      <w:r>
        <w:separator/>
      </w:r>
    </w:p>
  </w:endnote>
  <w:endnote w:type="continuationSeparator" w:id="0">
    <w:p w14:paraId="52C0EF70" w14:textId="77777777" w:rsidR="00565AD5" w:rsidRDefault="00565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A5B73" w14:textId="77777777" w:rsidR="00344CA5" w:rsidRDefault="00000000">
    <w:pPr>
      <w:pStyle w:val="Stopka"/>
      <w:jc w:val="right"/>
    </w:pPr>
    <w:proofErr w:type="spellStart"/>
    <w:r>
      <w:rPr>
        <w:rFonts w:eastAsia="Calibri"/>
        <w:color w:val="5F6368"/>
        <w:sz w:val="18"/>
      </w:rPr>
      <w:t>strona</w:t>
    </w:r>
    <w:proofErr w:type="spellEnd"/>
    <w:r>
      <w:rPr>
        <w:rFonts w:eastAsia="Calibri"/>
        <w:color w:val="5F6368"/>
        <w:sz w:val="18"/>
      </w:rPr>
      <w:t xml:space="preserve"> </w:t>
    </w:r>
    <w:r>
      <w:rPr>
        <w:rFonts w:eastAsia="Calibri"/>
        <w:color w:val="5F6368"/>
        <w:sz w:val="18"/>
      </w:rPr>
      <w:fldChar w:fldCharType="begin"/>
    </w:r>
    <w:r>
      <w:rPr>
        <w:rFonts w:eastAsia="Calibri"/>
        <w:color w:val="5F6368"/>
        <w:sz w:val="18"/>
      </w:rPr>
      <w:instrText>PAGE</w:instrText>
    </w:r>
    <w:r>
      <w:rPr>
        <w:rFonts w:eastAsia="Calibri"/>
        <w:color w:val="5F6368"/>
        <w:sz w:val="18"/>
      </w:rPr>
      <w:fldChar w:fldCharType="separate"/>
    </w:r>
    <w:r>
      <w:rPr>
        <w:rFonts w:eastAsia="Calibri"/>
        <w:color w:val="5F6368"/>
        <w:sz w:val="18"/>
      </w:rPr>
      <w:t>1</w:t>
    </w:r>
    <w:r>
      <w:rPr>
        <w:rFonts w:eastAsia="Calibri"/>
        <w:color w:val="5F6368"/>
        <w:sz w:val="18"/>
      </w:rPr>
      <w:fldChar w:fldCharType="end"/>
    </w:r>
    <w:r>
      <w:rPr>
        <w:rFonts w:eastAsia="Calibri"/>
        <w:color w:val="5F6368"/>
        <w:sz w:val="18"/>
      </w:rPr>
      <w:t xml:space="preserve"> z </w:t>
    </w:r>
    <w:r>
      <w:rPr>
        <w:rFonts w:eastAsia="Calibri"/>
        <w:color w:val="5F6368"/>
        <w:sz w:val="18"/>
      </w:rPr>
      <w:fldChar w:fldCharType="begin"/>
    </w:r>
    <w:r>
      <w:rPr>
        <w:rFonts w:eastAsia="Calibri"/>
        <w:color w:val="5F6368"/>
        <w:sz w:val="18"/>
      </w:rPr>
      <w:instrText>NUMPAGES</w:instrText>
    </w:r>
    <w:r>
      <w:rPr>
        <w:rFonts w:eastAsia="Calibri"/>
        <w:color w:val="5F6368"/>
        <w:sz w:val="18"/>
      </w:rPr>
      <w:fldChar w:fldCharType="separate"/>
    </w:r>
    <w:r>
      <w:rPr>
        <w:rFonts w:eastAsia="Calibri"/>
        <w:color w:val="5F6368"/>
        <w:sz w:val="18"/>
      </w:rPr>
      <w:t>1</w:t>
    </w:r>
    <w:r>
      <w:rPr>
        <w:rFonts w:eastAsia="Calibri"/>
        <w:color w:val="5F6368"/>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A657F" w14:textId="77777777" w:rsidR="00565AD5" w:rsidRDefault="00565AD5">
      <w:pPr>
        <w:spacing w:after="0" w:line="240" w:lineRule="auto"/>
      </w:pPr>
      <w:r>
        <w:separator/>
      </w:r>
    </w:p>
  </w:footnote>
  <w:footnote w:type="continuationSeparator" w:id="0">
    <w:p w14:paraId="57A1B81C" w14:textId="77777777" w:rsidR="00565AD5" w:rsidRDefault="00565A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B44493"/>
    <w:multiLevelType w:val="singleLevel"/>
    <w:tmpl w:val="1B562BAE"/>
    <w:lvl w:ilvl="0">
      <w:start w:val="1"/>
      <w:numFmt w:val="decimal"/>
      <w:pStyle w:val="Listapunktowana"/>
      <w:lvlText w:val="%1."/>
      <w:lvlJc w:val="left"/>
      <w:pPr>
        <w:tabs>
          <w:tab w:val="num" w:pos="540"/>
        </w:tabs>
        <w:spacing w:after="80" w:line="290" w:lineRule="auto"/>
        <w:ind w:left="540" w:hanging="280"/>
      </w:pPr>
    </w:lvl>
  </w:abstractNum>
  <w:abstractNum w:abstractNumId="10" w15:restartNumberingAfterBreak="0">
    <w:nsid w:val="54B61A63"/>
    <w:multiLevelType w:val="singleLevel"/>
    <w:tmpl w:val="0A4ED484"/>
    <w:lvl w:ilvl="0">
      <w:start w:val="1"/>
      <w:numFmt w:val="decimal"/>
      <w:lvlText w:val="%1."/>
      <w:lvlJc w:val="left"/>
      <w:pPr>
        <w:tabs>
          <w:tab w:val="num" w:pos="540"/>
        </w:tabs>
        <w:spacing w:after="80" w:line="290" w:lineRule="auto"/>
        <w:ind w:left="540" w:hanging="280"/>
      </w:pPr>
    </w:lvl>
  </w:abstractNum>
  <w:num w:numId="1" w16cid:durableId="5817185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44CA5"/>
    <w:rsid w:val="00384199"/>
    <w:rsid w:val="00565AD5"/>
    <w:rsid w:val="009A5B7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97C77A"/>
  <w14:defaultImageDpi w14:val="300"/>
  <w15:docId w15:val="{76C686C3-6AA6-4BDE-B40A-9A9242307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60" w:line="320" w:lineRule="auto"/>
      <w:jc w:val="both"/>
    </w:pPr>
    <w:rPr>
      <w:rFonts w:ascii="Calibri" w:hAnsi="Calibri"/>
      <w:color w:val="000000"/>
    </w:rPr>
  </w:style>
  <w:style w:type="paragraph" w:styleId="Nagwek1">
    <w:name w:val="heading 1"/>
    <w:basedOn w:val="Normalny"/>
    <w:next w:val="Normalny"/>
    <w:link w:val="Nagwek1Znak"/>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Nagwek2">
    <w:name w:val="heading 2"/>
    <w:basedOn w:val="Normalny"/>
    <w:next w:val="Normalny"/>
    <w:link w:val="Nagwek2Znak"/>
    <w:uiPriority w:val="9"/>
    <w:unhideWhenUsed/>
    <w:qFormat/>
    <w:rsid w:val="00FC693F"/>
    <w:pPr>
      <w:keepNext/>
      <w:keepLines/>
      <w:spacing w:before="240" w:after="120"/>
      <w:outlineLvl w:val="1"/>
    </w:pPr>
    <w:rPr>
      <w:rFonts w:asciiTheme="majorHAnsi" w:eastAsiaTheme="majorEastAsia" w:hAnsiTheme="majorHAnsi" w:cstheme="majorBidi"/>
      <w:b/>
      <w:bCs/>
      <w:color w:val="2E74B5"/>
      <w:sz w:val="26"/>
      <w:szCs w:val="26"/>
    </w:rPr>
  </w:style>
  <w:style w:type="paragraph" w:styleId="Nagwek3">
    <w:name w:val="heading 3"/>
    <w:basedOn w:val="Normalny"/>
    <w:next w:val="Normalny"/>
    <w:link w:val="Nagwek3Znak"/>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tabs>
        <w:tab w:val="num" w:pos="360"/>
      </w:tabs>
      <w:contextualSpacing/>
    </w:pPr>
  </w:style>
  <w:style w:type="paragraph" w:styleId="Listapunktowana3">
    <w:name w:val="List Bullet 3"/>
    <w:basedOn w:val="Normalny"/>
    <w:uiPriority w:val="99"/>
    <w:unhideWhenUsed/>
    <w:rsid w:val="00326F90"/>
    <w:pPr>
      <w:tabs>
        <w:tab w:val="num" w:pos="360"/>
      </w:tabs>
      <w:contextualSpacing/>
    </w:pPr>
  </w:style>
  <w:style w:type="paragraph" w:styleId="Listanumerowana">
    <w:name w:val="List Number"/>
    <w:basedOn w:val="Normalny"/>
    <w:uiPriority w:val="99"/>
    <w:unhideWhenUsed/>
    <w:rsid w:val="00326F90"/>
    <w:pPr>
      <w:tabs>
        <w:tab w:val="num" w:pos="360"/>
      </w:tabs>
      <w:contextualSpacing/>
    </w:pPr>
  </w:style>
  <w:style w:type="paragraph" w:styleId="Listanumerowana2">
    <w:name w:val="List Number 2"/>
    <w:basedOn w:val="Normalny"/>
    <w:uiPriority w:val="99"/>
    <w:unhideWhenUsed/>
    <w:rsid w:val="0029639D"/>
    <w:pPr>
      <w:tabs>
        <w:tab w:val="num" w:pos="360"/>
      </w:tabs>
      <w:contextualSpacing/>
    </w:pPr>
  </w:style>
  <w:style w:type="paragraph" w:styleId="Listanumerowana3">
    <w:name w:val="List Number 3"/>
    <w:basedOn w:val="Normalny"/>
    <w:uiPriority w:val="99"/>
    <w:unhideWhenUsed/>
    <w:rsid w:val="0029639D"/>
    <w:pPr>
      <w:tabs>
        <w:tab w:val="num" w:pos="360"/>
      </w:tabs>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etitionList">
    <w:name w:val="Petition List"/>
    <w:pPr>
      <w:spacing w:after="80" w:line="290" w:lineRule="auto"/>
    </w:pPr>
    <w:rPr>
      <w:rFonts w:ascii="Calibri" w:hAnsi="Calibri"/>
    </w:rPr>
  </w:style>
  <w:style w:type="paragraph" w:customStyle="1" w:styleId="Instruction">
    <w:name w:val="Instruction"/>
    <w:pPr>
      <w:spacing w:before="100" w:after="160" w:line="264" w:lineRule="auto"/>
      <w:ind w:left="198" w:right="198"/>
    </w:pPr>
    <w:rPr>
      <w:rFonts w:ascii="Calibri" w:hAnsi="Calibri"/>
      <w:color w:val="5F6368"/>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1306</Words>
  <Characters>7842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petycji obywatela do Prezydenta RP - ustawa żłobkowa</dc:title>
  <dc:subject>Petycja o odmowę podpisania ustawy z dnia 17 lipca 2026 r.</dc:subject>
  <dc:creator>Izba Gospodarcza Branży Wczesnodziecięcej</dc:creator>
  <cp:keywords>petycja, obywatel, interes publiczny, opieka nad dziećmi do lat 3, weto, UD181, druk 2698</cp:keywords>
  <dc:description>generated by python-docx</dc:description>
  <cp:lastModifiedBy>Grzegorz Jasiński</cp:lastModifiedBy>
  <cp:revision>2</cp:revision>
  <dcterms:created xsi:type="dcterms:W3CDTF">2013-12-23T23:15:00Z</dcterms:created>
  <dcterms:modified xsi:type="dcterms:W3CDTF">2026-08-07T17:06:00Z</dcterms:modified>
  <cp:category/>
</cp:coreProperties>
</file>